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47090" w14:textId="77777777" w:rsidR="001E139A" w:rsidRPr="001A1392" w:rsidRDefault="00000000">
      <w:pPr>
        <w:spacing w:before="200" w:after="200" w:line="240" w:lineRule="auto"/>
        <w:jc w:val="center"/>
        <w:rPr>
          <w:rFonts w:ascii="Verdana" w:eastAsia="Arial" w:hAnsi="Verdana"/>
          <w:b/>
          <w:bCs/>
          <w:color w:val="000000"/>
          <w:sz w:val="28"/>
          <w:szCs w:val="28"/>
        </w:rPr>
      </w:pPr>
      <w:r w:rsidRPr="001A1392">
        <w:rPr>
          <w:rFonts w:ascii="Verdana" w:eastAsia="Arial" w:hAnsi="Verdana"/>
          <w:b/>
          <w:bCs/>
          <w:color w:val="000000"/>
          <w:sz w:val="28"/>
          <w:szCs w:val="28"/>
        </w:rPr>
        <w:t xml:space="preserve">Zpráva o udržitelnosti společnosti </w:t>
      </w:r>
    </w:p>
    <w:p w14:paraId="0DBF0D25" w14:textId="77777777" w:rsidR="00925999" w:rsidRPr="001A1392" w:rsidRDefault="001E139A">
      <w:pPr>
        <w:spacing w:before="200" w:after="200" w:line="240" w:lineRule="auto"/>
        <w:jc w:val="center"/>
        <w:rPr>
          <w:rFonts w:ascii="Verdana" w:eastAsia="Arial" w:hAnsi="Verdana"/>
          <w:b/>
          <w:bCs/>
          <w:color w:val="000000"/>
          <w:sz w:val="28"/>
          <w:szCs w:val="28"/>
        </w:rPr>
      </w:pPr>
      <w:r w:rsidRPr="001A1392">
        <w:rPr>
          <w:rFonts w:ascii="Verdana" w:eastAsia="Arial" w:hAnsi="Verdana"/>
          <w:b/>
          <w:bCs/>
          <w:color w:val="000000"/>
          <w:sz w:val="28"/>
          <w:szCs w:val="28"/>
        </w:rPr>
        <w:t>Hoffmann &amp; Žižák, spol. s r.o.</w:t>
      </w:r>
    </w:p>
    <w:p w14:paraId="75680D32" w14:textId="77777777" w:rsidR="00925999" w:rsidRPr="001A1392" w:rsidRDefault="00000000">
      <w:pPr>
        <w:spacing w:before="200" w:after="200" w:line="240" w:lineRule="auto"/>
        <w:jc w:val="center"/>
        <w:rPr>
          <w:rFonts w:ascii="Verdana" w:eastAsia="Arial" w:hAnsi="Verdana"/>
        </w:rPr>
      </w:pPr>
      <w:r w:rsidRPr="001A1392">
        <w:rPr>
          <w:rFonts w:ascii="Verdana" w:eastAsia="Arial" w:hAnsi="Verdana"/>
          <w:b/>
          <w:bCs/>
          <w:color w:val="000000"/>
          <w:sz w:val="28"/>
          <w:szCs w:val="28"/>
        </w:rPr>
        <w:t>za rok 2025</w:t>
      </w:r>
    </w:p>
    <w:p w14:paraId="33CF1F51" w14:textId="77777777" w:rsidR="00925999" w:rsidRPr="001A1392" w:rsidRDefault="00925999">
      <w:pPr>
        <w:spacing w:after="0" w:line="240" w:lineRule="auto"/>
        <w:jc w:val="center"/>
        <w:rPr>
          <w:rFonts w:ascii="Verdana" w:eastAsia="Arial" w:hAnsi="Verdana"/>
          <w:sz w:val="20"/>
          <w:szCs w:val="20"/>
        </w:rPr>
      </w:pPr>
    </w:p>
    <w:tbl>
      <w:tblPr>
        <w:tblStyle w:val="a"/>
        <w:tblW w:w="3210" w:type="dxa"/>
        <w:tblInd w:w="0" w:type="dxa"/>
        <w:tblLayout w:type="fixed"/>
        <w:tblLook w:val="0400" w:firstRow="0" w:lastRow="0" w:firstColumn="0" w:lastColumn="0" w:noHBand="0" w:noVBand="1"/>
      </w:tblPr>
      <w:tblGrid>
        <w:gridCol w:w="1650"/>
        <w:gridCol w:w="1560"/>
      </w:tblGrid>
      <w:tr w:rsidR="00925999" w:rsidRPr="001A1392" w14:paraId="24442F5A" w14:textId="77777777">
        <w:trPr>
          <w:trHeight w:val="458"/>
        </w:trPr>
        <w:tc>
          <w:tcPr>
            <w:tcW w:w="1650" w:type="dxa"/>
            <w:shd w:val="clear" w:color="auto" w:fill="FFFFFF"/>
            <w:tcMar>
              <w:top w:w="100" w:type="dxa"/>
              <w:left w:w="115" w:type="dxa"/>
              <w:bottom w:w="113" w:type="dxa"/>
              <w:right w:w="115" w:type="dxa"/>
            </w:tcMar>
            <w:vAlign w:val="center"/>
          </w:tcPr>
          <w:p w14:paraId="2BF12C56" w14:textId="77777777" w:rsidR="00925999" w:rsidRPr="001A1392" w:rsidRDefault="00925999">
            <w:pPr>
              <w:spacing w:after="0" w:line="240" w:lineRule="auto"/>
              <w:jc w:val="both"/>
              <w:rPr>
                <w:rFonts w:ascii="Verdana" w:eastAsia="Arial" w:hAnsi="Verdana"/>
                <w:sz w:val="15"/>
                <w:szCs w:val="15"/>
              </w:rPr>
            </w:pPr>
          </w:p>
        </w:tc>
        <w:tc>
          <w:tcPr>
            <w:tcW w:w="1560" w:type="dxa"/>
            <w:shd w:val="clear" w:color="auto" w:fill="FFFFFF"/>
            <w:tcMar>
              <w:top w:w="100" w:type="dxa"/>
              <w:left w:w="115" w:type="dxa"/>
              <w:bottom w:w="113" w:type="dxa"/>
              <w:right w:w="115" w:type="dxa"/>
            </w:tcMar>
            <w:vAlign w:val="center"/>
          </w:tcPr>
          <w:p w14:paraId="5E3EA4C6" w14:textId="77777777" w:rsidR="00925999" w:rsidRPr="001A1392" w:rsidRDefault="00925999">
            <w:pPr>
              <w:spacing w:after="0" w:line="240" w:lineRule="auto"/>
              <w:jc w:val="both"/>
              <w:rPr>
                <w:rFonts w:ascii="Verdana" w:eastAsia="Arial" w:hAnsi="Verdana"/>
                <w:sz w:val="15"/>
                <w:szCs w:val="15"/>
              </w:rPr>
            </w:pPr>
          </w:p>
        </w:tc>
      </w:tr>
    </w:tbl>
    <w:p w14:paraId="66D946FE" w14:textId="77777777" w:rsidR="00925999" w:rsidRPr="001A1392" w:rsidRDefault="00000000">
      <w:pPr>
        <w:spacing w:after="240" w:line="240" w:lineRule="auto"/>
        <w:jc w:val="both"/>
        <w:rPr>
          <w:rFonts w:ascii="Verdana" w:eastAsia="Arial" w:hAnsi="Verdana"/>
          <w:sz w:val="20"/>
          <w:szCs w:val="20"/>
        </w:rPr>
      </w:pPr>
      <w:r w:rsidRPr="001A1392">
        <w:rPr>
          <w:rFonts w:ascii="Verdana" w:eastAsia="Arial" w:hAnsi="Verdana"/>
          <w:sz w:val="20"/>
          <w:szCs w:val="20"/>
        </w:rPr>
        <w:br/>
      </w:r>
      <w:r w:rsidRPr="001A1392">
        <w:rPr>
          <w:rFonts w:ascii="Verdana" w:eastAsia="Arial" w:hAnsi="Verdana"/>
          <w:sz w:val="20"/>
          <w:szCs w:val="20"/>
        </w:rPr>
        <w:br/>
      </w:r>
      <w:r w:rsidRPr="001A1392">
        <w:rPr>
          <w:rFonts w:ascii="Verdana" w:eastAsia="Arial" w:hAnsi="Verdana"/>
          <w:sz w:val="20"/>
          <w:szCs w:val="20"/>
        </w:rPr>
        <w:br/>
      </w:r>
      <w:r w:rsidRPr="001A1392">
        <w:rPr>
          <w:rFonts w:ascii="Verdana" w:eastAsia="Arial" w:hAnsi="Verdana"/>
          <w:sz w:val="20"/>
          <w:szCs w:val="20"/>
        </w:rPr>
        <w:br/>
      </w:r>
      <w:r w:rsidRPr="001A1392">
        <w:rPr>
          <w:rFonts w:ascii="Verdana" w:eastAsia="Arial" w:hAnsi="Verdana"/>
          <w:sz w:val="20"/>
          <w:szCs w:val="20"/>
        </w:rPr>
        <w:br/>
      </w:r>
      <w:r w:rsidRPr="001A1392">
        <w:rPr>
          <w:rFonts w:ascii="Verdana" w:eastAsia="Arial" w:hAnsi="Verdana"/>
          <w:sz w:val="20"/>
          <w:szCs w:val="20"/>
        </w:rPr>
        <w:br/>
      </w:r>
      <w:r w:rsidRPr="001A1392">
        <w:rPr>
          <w:rFonts w:ascii="Verdana" w:eastAsia="Arial" w:hAnsi="Verdana"/>
          <w:sz w:val="20"/>
          <w:szCs w:val="20"/>
        </w:rPr>
        <w:br/>
      </w:r>
      <w:r w:rsidRPr="001A1392">
        <w:rPr>
          <w:rFonts w:ascii="Verdana" w:eastAsia="Arial" w:hAnsi="Verdana"/>
          <w:sz w:val="20"/>
          <w:szCs w:val="20"/>
        </w:rPr>
        <w:br/>
      </w:r>
      <w:r w:rsidRPr="001A1392">
        <w:rPr>
          <w:rFonts w:ascii="Verdana" w:eastAsia="Arial" w:hAnsi="Verdana"/>
          <w:sz w:val="20"/>
          <w:szCs w:val="20"/>
        </w:rPr>
        <w:br/>
      </w:r>
      <w:r w:rsidRPr="001A1392">
        <w:rPr>
          <w:rFonts w:ascii="Verdana" w:eastAsia="Arial" w:hAnsi="Verdana"/>
          <w:sz w:val="20"/>
          <w:szCs w:val="20"/>
        </w:rPr>
        <w:br/>
      </w:r>
      <w:r w:rsidRPr="001A1392">
        <w:rPr>
          <w:rFonts w:ascii="Verdana" w:eastAsia="Arial" w:hAnsi="Verdana"/>
          <w:sz w:val="20"/>
          <w:szCs w:val="20"/>
        </w:rPr>
        <w:br/>
      </w:r>
      <w:r w:rsidRPr="001A1392">
        <w:rPr>
          <w:rFonts w:ascii="Verdana" w:eastAsia="Arial" w:hAnsi="Verdana"/>
          <w:sz w:val="20"/>
          <w:szCs w:val="20"/>
        </w:rPr>
        <w:br/>
      </w:r>
      <w:r w:rsidRPr="001A1392">
        <w:rPr>
          <w:rFonts w:ascii="Verdana" w:eastAsia="Arial" w:hAnsi="Verdana"/>
          <w:sz w:val="20"/>
          <w:szCs w:val="20"/>
        </w:rPr>
        <w:br/>
      </w:r>
      <w:r w:rsidRPr="001A1392">
        <w:rPr>
          <w:rFonts w:ascii="Verdana" w:eastAsia="Arial" w:hAnsi="Verdana"/>
          <w:sz w:val="20"/>
          <w:szCs w:val="20"/>
        </w:rPr>
        <w:br/>
      </w:r>
      <w:r w:rsidRPr="001A1392">
        <w:rPr>
          <w:rFonts w:ascii="Verdana" w:eastAsia="Arial" w:hAnsi="Verdana"/>
          <w:sz w:val="20"/>
          <w:szCs w:val="20"/>
        </w:rPr>
        <w:br/>
      </w:r>
      <w:r w:rsidRPr="001A1392">
        <w:rPr>
          <w:rFonts w:ascii="Verdana" w:eastAsia="Arial" w:hAnsi="Verdana"/>
          <w:sz w:val="20"/>
          <w:szCs w:val="20"/>
        </w:rPr>
        <w:br/>
      </w:r>
      <w:r w:rsidRPr="001A1392">
        <w:rPr>
          <w:rFonts w:ascii="Verdana" w:eastAsia="Arial" w:hAnsi="Verdana"/>
          <w:sz w:val="20"/>
          <w:szCs w:val="20"/>
        </w:rPr>
        <w:br/>
      </w:r>
      <w:r w:rsidRPr="001A1392">
        <w:rPr>
          <w:rFonts w:ascii="Verdana" w:eastAsia="Arial" w:hAnsi="Verdana"/>
          <w:sz w:val="20"/>
          <w:szCs w:val="20"/>
        </w:rPr>
        <w:br/>
      </w:r>
    </w:p>
    <w:p w14:paraId="38855A10" w14:textId="77777777" w:rsidR="00925999" w:rsidRPr="001A1392" w:rsidRDefault="00925999">
      <w:pPr>
        <w:spacing w:after="240" w:line="240" w:lineRule="auto"/>
        <w:jc w:val="both"/>
        <w:rPr>
          <w:rFonts w:ascii="Verdana" w:eastAsia="Arial" w:hAnsi="Verdana"/>
          <w:sz w:val="20"/>
          <w:szCs w:val="20"/>
        </w:rPr>
      </w:pPr>
    </w:p>
    <w:p w14:paraId="6EDCDED8" w14:textId="77777777" w:rsidR="00925999" w:rsidRPr="001A1392" w:rsidRDefault="00925999">
      <w:pPr>
        <w:spacing w:after="240" w:line="240" w:lineRule="auto"/>
        <w:jc w:val="both"/>
        <w:rPr>
          <w:rFonts w:ascii="Verdana" w:eastAsia="Arial" w:hAnsi="Verdana"/>
          <w:sz w:val="20"/>
          <w:szCs w:val="20"/>
        </w:rPr>
      </w:pPr>
    </w:p>
    <w:p w14:paraId="2A5DE5CD" w14:textId="77777777" w:rsidR="00925999" w:rsidRPr="001A1392" w:rsidRDefault="00925999">
      <w:pPr>
        <w:spacing w:after="240" w:line="240" w:lineRule="auto"/>
        <w:jc w:val="both"/>
        <w:rPr>
          <w:rFonts w:ascii="Verdana" w:eastAsia="Arial" w:hAnsi="Verdana"/>
          <w:sz w:val="20"/>
          <w:szCs w:val="20"/>
        </w:rPr>
      </w:pPr>
    </w:p>
    <w:p w14:paraId="6F45C183" w14:textId="77777777" w:rsidR="00925999" w:rsidRPr="001A1392" w:rsidRDefault="00925999">
      <w:pPr>
        <w:spacing w:after="240" w:line="240" w:lineRule="auto"/>
        <w:jc w:val="both"/>
        <w:rPr>
          <w:rFonts w:ascii="Verdana" w:eastAsia="Arial" w:hAnsi="Verdana"/>
          <w:sz w:val="20"/>
          <w:szCs w:val="20"/>
        </w:rPr>
      </w:pPr>
    </w:p>
    <w:p w14:paraId="621DA8D6" w14:textId="77777777" w:rsidR="00925999" w:rsidRPr="001A1392" w:rsidRDefault="00000000">
      <w:pPr>
        <w:spacing w:after="240" w:line="240" w:lineRule="auto"/>
        <w:jc w:val="both"/>
        <w:rPr>
          <w:rFonts w:ascii="Verdana" w:eastAsia="Arial" w:hAnsi="Verdana"/>
          <w:sz w:val="20"/>
          <w:szCs w:val="20"/>
        </w:rPr>
      </w:pPr>
      <w:r w:rsidRPr="001A1392">
        <w:rPr>
          <w:rFonts w:ascii="Verdana" w:eastAsia="Arial" w:hAnsi="Verdana"/>
          <w:sz w:val="20"/>
          <w:szCs w:val="20"/>
        </w:rPr>
        <w:br/>
      </w:r>
      <w:r w:rsidRPr="001A1392">
        <w:rPr>
          <w:rFonts w:ascii="Verdana" w:eastAsia="Arial" w:hAnsi="Verdana"/>
          <w:sz w:val="20"/>
          <w:szCs w:val="20"/>
        </w:rPr>
        <w:br/>
      </w:r>
    </w:p>
    <w:tbl>
      <w:tblPr>
        <w:tblStyle w:val="a0"/>
        <w:tblW w:w="6060" w:type="dxa"/>
        <w:tblInd w:w="-435" w:type="dxa"/>
        <w:tblLayout w:type="fixed"/>
        <w:tblLook w:val="0400" w:firstRow="0" w:lastRow="0" w:firstColumn="0" w:lastColumn="0" w:noHBand="0" w:noVBand="1"/>
      </w:tblPr>
      <w:tblGrid>
        <w:gridCol w:w="1545"/>
        <w:gridCol w:w="4515"/>
      </w:tblGrid>
      <w:tr w:rsidR="00925999" w:rsidRPr="001A1392" w14:paraId="7CC9C227" w14:textId="77777777">
        <w:trPr>
          <w:trHeight w:val="448"/>
        </w:trPr>
        <w:tc>
          <w:tcPr>
            <w:tcW w:w="1545" w:type="dxa"/>
            <w:tcBorders>
              <w:top w:val="single" w:sz="4" w:space="0" w:color="A2A2A2"/>
              <w:bottom w:val="single" w:sz="4" w:space="0" w:color="A2A2A2"/>
            </w:tcBorders>
            <w:shd w:val="clear" w:color="auto" w:fill="FFFFFF"/>
            <w:tcMar>
              <w:top w:w="100" w:type="dxa"/>
              <w:left w:w="0" w:type="dxa"/>
              <w:bottom w:w="113" w:type="dxa"/>
              <w:right w:w="0" w:type="dxa"/>
            </w:tcMar>
          </w:tcPr>
          <w:p w14:paraId="26E30950" w14:textId="77777777" w:rsidR="00925999" w:rsidRPr="001A1392" w:rsidRDefault="00000000">
            <w:pPr>
              <w:spacing w:before="120" w:after="120" w:line="240" w:lineRule="auto"/>
              <w:jc w:val="both"/>
              <w:rPr>
                <w:rFonts w:ascii="Verdana" w:eastAsia="Arial" w:hAnsi="Verdana"/>
                <w:sz w:val="20"/>
                <w:szCs w:val="20"/>
              </w:rPr>
            </w:pPr>
            <w:r w:rsidRPr="001A1392">
              <w:rPr>
                <w:rFonts w:ascii="Verdana" w:eastAsia="Arial" w:hAnsi="Verdana"/>
                <w:b/>
                <w:bCs/>
                <w:color w:val="000000"/>
                <w:sz w:val="15"/>
                <w:szCs w:val="15"/>
              </w:rPr>
              <w:t>Zpracovala</w:t>
            </w:r>
          </w:p>
        </w:tc>
        <w:tc>
          <w:tcPr>
            <w:tcW w:w="4515" w:type="dxa"/>
            <w:tcBorders>
              <w:top w:val="single" w:sz="4" w:space="0" w:color="A2A2A2"/>
              <w:bottom w:val="single" w:sz="4" w:space="0" w:color="A2A2A2"/>
            </w:tcBorders>
            <w:shd w:val="clear" w:color="auto" w:fill="FFFFFF"/>
            <w:tcMar>
              <w:top w:w="100" w:type="dxa"/>
              <w:left w:w="115" w:type="dxa"/>
              <w:bottom w:w="113" w:type="dxa"/>
              <w:right w:w="115" w:type="dxa"/>
            </w:tcMar>
            <w:vAlign w:val="center"/>
          </w:tcPr>
          <w:p w14:paraId="6EE9074B" w14:textId="77777777" w:rsidR="00925999" w:rsidRPr="001A1392" w:rsidRDefault="00000000">
            <w:pPr>
              <w:spacing w:before="120" w:after="120" w:line="240" w:lineRule="auto"/>
              <w:jc w:val="both"/>
              <w:rPr>
                <w:rFonts w:ascii="Verdana" w:eastAsia="Arial" w:hAnsi="Verdana"/>
                <w:sz w:val="20"/>
                <w:szCs w:val="20"/>
              </w:rPr>
            </w:pPr>
            <w:r w:rsidRPr="001A1392">
              <w:rPr>
                <w:rFonts w:ascii="Verdana" w:eastAsia="Arial" w:hAnsi="Verdana"/>
                <w:color w:val="000000"/>
                <w:sz w:val="15"/>
                <w:szCs w:val="15"/>
              </w:rPr>
              <w:t xml:space="preserve">Mgr. Kristýna Houšková, </w:t>
            </w:r>
            <w:r w:rsidRPr="001A1392">
              <w:rPr>
                <w:rFonts w:ascii="Verdana" w:eastAsia="Arial" w:hAnsi="Verdana"/>
                <w:sz w:val="15"/>
                <w:szCs w:val="15"/>
              </w:rPr>
              <w:t>Gondola Garant</w:t>
            </w:r>
            <w:r w:rsidRPr="001A1392">
              <w:rPr>
                <w:rFonts w:ascii="Verdana" w:eastAsia="Arial" w:hAnsi="Verdana"/>
                <w:color w:val="000000"/>
                <w:sz w:val="15"/>
                <w:szCs w:val="15"/>
              </w:rPr>
              <w:t xml:space="preserve"> s.r.o.</w:t>
            </w:r>
          </w:p>
        </w:tc>
      </w:tr>
    </w:tbl>
    <w:p w14:paraId="632A4063" w14:textId="77777777" w:rsidR="00925999" w:rsidRPr="001A1392" w:rsidRDefault="00925999">
      <w:pPr>
        <w:jc w:val="both"/>
        <w:rPr>
          <w:rFonts w:ascii="Verdana" w:eastAsia="Arial" w:hAnsi="Verdana"/>
          <w:sz w:val="18"/>
          <w:szCs w:val="18"/>
        </w:rPr>
      </w:pPr>
    </w:p>
    <w:p w14:paraId="66F4F74B" w14:textId="77777777" w:rsidR="00925999" w:rsidRDefault="00925999">
      <w:pPr>
        <w:jc w:val="both"/>
        <w:rPr>
          <w:rFonts w:ascii="Verdana" w:eastAsia="Arial" w:hAnsi="Verdana"/>
          <w:sz w:val="18"/>
          <w:szCs w:val="18"/>
        </w:rPr>
      </w:pPr>
    </w:p>
    <w:p w14:paraId="185A697E" w14:textId="77777777" w:rsidR="001A1392" w:rsidRDefault="001A1392">
      <w:pPr>
        <w:jc w:val="both"/>
        <w:rPr>
          <w:rFonts w:ascii="Verdana" w:eastAsia="Arial" w:hAnsi="Verdana"/>
          <w:sz w:val="18"/>
          <w:szCs w:val="18"/>
        </w:rPr>
      </w:pPr>
    </w:p>
    <w:p w14:paraId="5B51795E" w14:textId="77777777" w:rsidR="001A1392" w:rsidRDefault="001A1392">
      <w:pPr>
        <w:jc w:val="both"/>
        <w:rPr>
          <w:rFonts w:ascii="Verdana" w:eastAsia="Arial" w:hAnsi="Verdana"/>
          <w:sz w:val="18"/>
          <w:szCs w:val="18"/>
        </w:rPr>
      </w:pPr>
    </w:p>
    <w:p w14:paraId="17C7A149" w14:textId="77777777" w:rsidR="001A1392" w:rsidRDefault="001A1392">
      <w:pPr>
        <w:jc w:val="both"/>
        <w:rPr>
          <w:rFonts w:ascii="Verdana" w:eastAsia="Arial" w:hAnsi="Verdana"/>
          <w:sz w:val="18"/>
          <w:szCs w:val="18"/>
        </w:rPr>
      </w:pPr>
    </w:p>
    <w:p w14:paraId="24A38522" w14:textId="77777777" w:rsidR="001A1392" w:rsidRDefault="001A1392">
      <w:pPr>
        <w:jc w:val="both"/>
        <w:rPr>
          <w:rFonts w:ascii="Verdana" w:eastAsia="Arial" w:hAnsi="Verdana"/>
          <w:sz w:val="18"/>
          <w:szCs w:val="18"/>
        </w:rPr>
      </w:pPr>
    </w:p>
    <w:p w14:paraId="51C64FBB" w14:textId="77777777" w:rsidR="001A1392" w:rsidRPr="001A1392" w:rsidRDefault="001A1392">
      <w:pPr>
        <w:jc w:val="both"/>
        <w:rPr>
          <w:rFonts w:ascii="Verdana" w:eastAsia="Arial" w:hAnsi="Verdana"/>
          <w:sz w:val="18"/>
          <w:szCs w:val="18"/>
        </w:rPr>
      </w:pPr>
    </w:p>
    <w:p w14:paraId="222F615D" w14:textId="77777777" w:rsidR="00925999" w:rsidRPr="001A1392" w:rsidRDefault="00925999">
      <w:pPr>
        <w:jc w:val="both"/>
        <w:rPr>
          <w:rFonts w:ascii="Verdana" w:eastAsia="Arial" w:hAnsi="Verdana"/>
          <w:sz w:val="18"/>
          <w:szCs w:val="18"/>
        </w:rPr>
      </w:pPr>
    </w:p>
    <w:p w14:paraId="0EB6E2D0" w14:textId="77777777" w:rsidR="00925999" w:rsidRPr="001A1392" w:rsidRDefault="00000000">
      <w:pPr>
        <w:numPr>
          <w:ilvl w:val="0"/>
          <w:numId w:val="3"/>
        </w:numPr>
        <w:jc w:val="both"/>
        <w:rPr>
          <w:rFonts w:ascii="Verdana" w:eastAsia="Arial" w:hAnsi="Verdana"/>
          <w:b/>
          <w:bCs/>
          <w:sz w:val="20"/>
          <w:szCs w:val="20"/>
        </w:rPr>
      </w:pPr>
      <w:r w:rsidRPr="001A1392">
        <w:rPr>
          <w:rFonts w:ascii="Verdana" w:eastAsia="Arial" w:hAnsi="Verdana"/>
          <w:b/>
          <w:bCs/>
          <w:sz w:val="20"/>
          <w:szCs w:val="20"/>
        </w:rPr>
        <w:t>Přehled zprávy</w:t>
      </w:r>
    </w:p>
    <w:p w14:paraId="19280E9F" w14:textId="77777777" w:rsidR="00925999" w:rsidRPr="001A1392" w:rsidRDefault="00000000">
      <w:pPr>
        <w:numPr>
          <w:ilvl w:val="1"/>
          <w:numId w:val="3"/>
        </w:numPr>
        <w:pBdr>
          <w:top w:val="nil"/>
          <w:left w:val="nil"/>
          <w:bottom w:val="nil"/>
          <w:right w:val="nil"/>
          <w:between w:val="nil"/>
        </w:pBdr>
        <w:spacing w:after="0"/>
        <w:jc w:val="both"/>
        <w:rPr>
          <w:rFonts w:ascii="Verdana" w:eastAsia="Arial" w:hAnsi="Verdana"/>
          <w:b/>
          <w:bCs/>
          <w:color w:val="000000"/>
          <w:sz w:val="18"/>
          <w:szCs w:val="18"/>
        </w:rPr>
      </w:pPr>
      <w:r w:rsidRPr="001A1392">
        <w:rPr>
          <w:rFonts w:ascii="Verdana" w:eastAsia="Arial" w:hAnsi="Verdana"/>
          <w:b/>
          <w:bCs/>
          <w:color w:val="000000"/>
          <w:sz w:val="18"/>
          <w:szCs w:val="18"/>
        </w:rPr>
        <w:t>Účel zprávy</w:t>
      </w:r>
    </w:p>
    <w:p w14:paraId="30C5A10F" w14:textId="77777777" w:rsidR="00925999" w:rsidRPr="001A1392" w:rsidRDefault="00925999">
      <w:pPr>
        <w:pBdr>
          <w:top w:val="nil"/>
          <w:left w:val="nil"/>
          <w:bottom w:val="nil"/>
          <w:right w:val="nil"/>
          <w:between w:val="nil"/>
        </w:pBdr>
        <w:ind w:left="792"/>
        <w:jc w:val="both"/>
        <w:rPr>
          <w:rFonts w:ascii="Verdana" w:eastAsia="Arial" w:hAnsi="Verdana"/>
          <w:b/>
          <w:bCs/>
          <w:color w:val="000000"/>
          <w:sz w:val="18"/>
          <w:szCs w:val="18"/>
        </w:rPr>
      </w:pPr>
    </w:p>
    <w:p w14:paraId="28C0983D" w14:textId="77777777" w:rsidR="00925999" w:rsidRPr="001A1392" w:rsidRDefault="00000000">
      <w:pPr>
        <w:pBdr>
          <w:top w:val="nil"/>
          <w:left w:val="nil"/>
          <w:bottom w:val="nil"/>
          <w:right w:val="nil"/>
          <w:between w:val="nil"/>
        </w:pBdr>
        <w:jc w:val="both"/>
        <w:rPr>
          <w:rFonts w:ascii="Verdana" w:eastAsia="Arial" w:hAnsi="Verdana"/>
          <w:sz w:val="18"/>
          <w:szCs w:val="18"/>
        </w:rPr>
      </w:pPr>
      <w:r w:rsidRPr="001A1392">
        <w:rPr>
          <w:rFonts w:ascii="Verdana" w:hAnsi="Verdana"/>
          <w:sz w:val="18"/>
          <w:szCs w:val="18"/>
        </w:rPr>
        <w:t>Tato zpráva o udržitelnosti byla zpracována s cílem transparentně informovat o aktivitách a výsledcích společnosti Hoffmann &amp; Žižák, spol. s r.o. v oblasti životního prostředí, sociálních témat a správy a řízení společnosti (ESG) za rok 2025. Jako autorizovaný prodejce a opravce vozidel Mercedes-Benz udržujeme klíčové dodavatelské vztahy zejména se společnostmi Mercedes-Benz AG a Daimler Truck AG. Vozidla distribuujeme prostřednictvím vlastních showroomů i online kanálů a mezi naše zákazníky patří fyzické osoby, firemní klientela i fleetoví partneři.</w:t>
      </w:r>
    </w:p>
    <w:p w14:paraId="7F9D2330" w14:textId="77777777" w:rsidR="00925999" w:rsidRPr="001A1392" w:rsidRDefault="00000000">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S ohledem na charakter a rozsah našich služeb si uvědomujeme odpovědnost za dopady našeho podnikání. Proto usilujeme o omezování negativních vlivů na životní prostředí a současně o posilování sociálních a ekonomických přínosů naší činnosti. Udržitelné postupy vnímáme jako důležitou součást dlouhodobého rozvoje společnosti a jako reakci na environmentální výzvy, očekávání zainteresovaných stran i rostoucí požadavky na odpovědné řízení.</w:t>
      </w:r>
    </w:p>
    <w:p w14:paraId="4A5BF022" w14:textId="77777777" w:rsidR="00925999" w:rsidRPr="001A1392" w:rsidRDefault="00000000">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Odpovědné podnikání pro nás znamená propojovat ekonomickou výkonnost s ohledem na životní prostředí, zaměstnance, zákazníky a další zainteresované strany. Naše strategie, interní postupy i způsob vykazování proto postupně rozvíjíme v souladu s principy etického jednání, sociální odpovědnosti a ochrany životního prostředí. Při přípravě této zprávy vycházíme z evropského dobrovolného standardu pro vykazování udržitelnosti VSME.</w:t>
      </w:r>
    </w:p>
    <w:p w14:paraId="44182064" w14:textId="77777777" w:rsidR="00925999" w:rsidRPr="001A1392" w:rsidRDefault="00000000">
      <w:pPr>
        <w:spacing w:before="240" w:after="240"/>
        <w:jc w:val="both"/>
        <w:rPr>
          <w:rFonts w:ascii="Verdana" w:eastAsia="Arial" w:hAnsi="Verdana"/>
          <w:sz w:val="18"/>
          <w:szCs w:val="18"/>
        </w:rPr>
      </w:pPr>
      <w:r w:rsidRPr="001A1392">
        <w:rPr>
          <w:rFonts w:ascii="Verdana" w:hAnsi="Verdana"/>
          <w:sz w:val="18"/>
          <w:szCs w:val="18"/>
        </w:rPr>
        <w:t>Zpráva poskytuje ucelený přehled o přístupu společnosti Hoffmann &amp; Žižák, spol. s r.o. k udržitelnosti a shrnuje klíčové aktivity, dosažené výsledky i probíhající iniciativy v jednotlivých oblastech ESG.</w:t>
      </w:r>
    </w:p>
    <w:p w14:paraId="6C9F8693" w14:textId="77777777" w:rsidR="00925999" w:rsidRPr="001A1392" w:rsidRDefault="00000000">
      <w:pPr>
        <w:spacing w:before="240" w:after="240"/>
        <w:jc w:val="both"/>
        <w:rPr>
          <w:rFonts w:ascii="Verdana" w:eastAsia="Arial" w:hAnsi="Verdana"/>
          <w:b/>
          <w:bCs/>
          <w:sz w:val="18"/>
          <w:szCs w:val="18"/>
        </w:rPr>
      </w:pPr>
      <w:r w:rsidRPr="001A1392">
        <w:rPr>
          <w:rFonts w:ascii="Verdana" w:eastAsia="Arial" w:hAnsi="Verdana"/>
          <w:b/>
          <w:bCs/>
          <w:sz w:val="18"/>
          <w:szCs w:val="18"/>
        </w:rPr>
        <w:t>Tato zpráva o udržitelnosti má tři hlavní cíle:</w:t>
      </w:r>
    </w:p>
    <w:p w14:paraId="3EFAA4F9" w14:textId="77777777" w:rsidR="00925999" w:rsidRPr="001A1392" w:rsidRDefault="00000000">
      <w:pPr>
        <w:jc w:val="both"/>
        <w:rPr>
          <w:rFonts w:ascii="Verdana" w:eastAsia="Arial" w:hAnsi="Verdana"/>
          <w:sz w:val="18"/>
          <w:szCs w:val="18"/>
        </w:rPr>
      </w:pPr>
      <w:r w:rsidRPr="001A1392">
        <w:rPr>
          <w:rFonts w:ascii="Verdana" w:eastAsia="Arial" w:hAnsi="Verdana"/>
          <w:b/>
          <w:bCs/>
          <w:sz w:val="18"/>
          <w:szCs w:val="18"/>
        </w:rPr>
        <w:t>Transparentnost a odpovědnost</w:t>
      </w:r>
    </w:p>
    <w:p w14:paraId="3097A9C4" w14:textId="77777777" w:rsidR="00925999" w:rsidRPr="001A1392" w:rsidRDefault="00000000">
      <w:pPr>
        <w:jc w:val="both"/>
        <w:rPr>
          <w:rFonts w:ascii="Verdana" w:eastAsia="Arial" w:hAnsi="Verdana"/>
          <w:sz w:val="18"/>
          <w:szCs w:val="18"/>
        </w:rPr>
      </w:pPr>
      <w:r w:rsidRPr="001A1392">
        <w:rPr>
          <w:rFonts w:ascii="Verdana" w:eastAsia="Arial" w:hAnsi="Verdana"/>
          <w:sz w:val="18"/>
          <w:szCs w:val="18"/>
        </w:rPr>
        <w:t>Otevřeně informujeme o našich aktivitách v oblasti udržitelnosti, včetně dosažených výsledků i oblastí, ve kterých vidíme prostor pro další rozvoj. Naším cílem je poskytnout zákazníkům, obchodním partnerům, zaměstnancům i dalším zainteresovaným stranám jasný a srozumitelný obraz o tom, jak přistupujeme k odpovědnému podnikání.</w:t>
      </w:r>
    </w:p>
    <w:p w14:paraId="45589EB7" w14:textId="77777777" w:rsidR="00925999" w:rsidRPr="001A1392" w:rsidRDefault="00000000">
      <w:pPr>
        <w:jc w:val="both"/>
        <w:rPr>
          <w:rFonts w:ascii="Verdana" w:eastAsia="Arial" w:hAnsi="Verdana"/>
          <w:sz w:val="18"/>
          <w:szCs w:val="18"/>
        </w:rPr>
      </w:pPr>
      <w:r w:rsidRPr="001A1392">
        <w:rPr>
          <w:rFonts w:ascii="Verdana" w:eastAsia="Arial" w:hAnsi="Verdana"/>
          <w:b/>
          <w:bCs/>
          <w:sz w:val="18"/>
          <w:szCs w:val="18"/>
        </w:rPr>
        <w:t>Angažovanost</w:t>
      </w:r>
    </w:p>
    <w:p w14:paraId="73CDBC80" w14:textId="77777777" w:rsidR="00925999" w:rsidRPr="001A1392" w:rsidRDefault="00000000">
      <w:pPr>
        <w:jc w:val="both"/>
        <w:rPr>
          <w:rFonts w:ascii="Verdana" w:eastAsia="Arial" w:hAnsi="Verdana"/>
          <w:sz w:val="18"/>
          <w:szCs w:val="18"/>
        </w:rPr>
      </w:pPr>
      <w:r w:rsidRPr="001A1392">
        <w:rPr>
          <w:rFonts w:ascii="Verdana" w:eastAsia="Arial" w:hAnsi="Verdana"/>
          <w:sz w:val="18"/>
          <w:szCs w:val="18"/>
        </w:rPr>
        <w:t>Nasloucháme našim zákazníkům, zaměstnancům, dodavatelům i komunitám, ve kterých působíme. Jejich podněty považujeme za důležitý zdroj informací pro další rozvoj našich strategií a každodenního fungování společnosti.</w:t>
      </w:r>
    </w:p>
    <w:p w14:paraId="36C57B87" w14:textId="77777777" w:rsidR="00925999" w:rsidRPr="001A1392" w:rsidRDefault="00000000">
      <w:pPr>
        <w:jc w:val="both"/>
        <w:rPr>
          <w:rFonts w:ascii="Verdana" w:eastAsia="Arial" w:hAnsi="Verdana"/>
          <w:sz w:val="18"/>
          <w:szCs w:val="18"/>
        </w:rPr>
      </w:pPr>
      <w:r w:rsidRPr="001A1392">
        <w:rPr>
          <w:rFonts w:ascii="Verdana" w:eastAsia="Arial" w:hAnsi="Verdana"/>
          <w:b/>
          <w:bCs/>
          <w:sz w:val="18"/>
          <w:szCs w:val="18"/>
        </w:rPr>
        <w:t>Vytrvalost</w:t>
      </w:r>
    </w:p>
    <w:p w14:paraId="5120BBA4" w14:textId="77777777" w:rsidR="00925999" w:rsidRPr="001A1392" w:rsidRDefault="00000000">
      <w:pPr>
        <w:spacing w:before="240" w:after="240"/>
        <w:jc w:val="both"/>
        <w:rPr>
          <w:rFonts w:ascii="Verdana" w:eastAsia="Arial" w:hAnsi="Verdana"/>
          <w:sz w:val="18"/>
          <w:szCs w:val="18"/>
        </w:rPr>
      </w:pPr>
      <w:r w:rsidRPr="001A1392">
        <w:rPr>
          <w:rFonts w:ascii="Verdana" w:eastAsia="Arial" w:hAnsi="Verdana"/>
          <w:sz w:val="18"/>
          <w:szCs w:val="18"/>
        </w:rPr>
        <w:t>Zpráva současně vyjadřuje náš dlouhodobý závazek k průběžnému zlepšování v oblasti udržitelnosti. Jako autorizovaný prodejce a servisní partner vozidel Mercedes-Benz chceme vedle poskytování kvalitních produktů a služeb odpovědně přispívat k udržitelnému rozvoji a reagovat na proměny automobilového odvětví.</w:t>
      </w:r>
    </w:p>
    <w:p w14:paraId="5803945C" w14:textId="77777777" w:rsidR="001A1392" w:rsidRPr="001A1392" w:rsidRDefault="001A1392">
      <w:pPr>
        <w:jc w:val="both"/>
        <w:rPr>
          <w:rFonts w:ascii="Verdana" w:eastAsia="Arial" w:hAnsi="Verdana"/>
          <w:sz w:val="18"/>
          <w:szCs w:val="18"/>
        </w:rPr>
      </w:pPr>
    </w:p>
    <w:p w14:paraId="6688B358" w14:textId="77777777" w:rsidR="00925999" w:rsidRPr="001A1392" w:rsidRDefault="00000000">
      <w:pPr>
        <w:numPr>
          <w:ilvl w:val="1"/>
          <w:numId w:val="3"/>
        </w:numPr>
        <w:pBdr>
          <w:top w:val="nil"/>
          <w:left w:val="nil"/>
          <w:bottom w:val="nil"/>
          <w:right w:val="nil"/>
          <w:between w:val="nil"/>
        </w:pBdr>
        <w:jc w:val="both"/>
        <w:rPr>
          <w:rFonts w:ascii="Verdana" w:eastAsia="Arial" w:hAnsi="Verdana"/>
          <w:b/>
          <w:bCs/>
          <w:color w:val="000000"/>
          <w:sz w:val="18"/>
          <w:szCs w:val="18"/>
        </w:rPr>
      </w:pPr>
      <w:r w:rsidRPr="001A1392">
        <w:rPr>
          <w:rFonts w:ascii="Verdana" w:eastAsia="Arial" w:hAnsi="Verdana"/>
          <w:b/>
          <w:bCs/>
          <w:color w:val="000000"/>
          <w:sz w:val="18"/>
          <w:szCs w:val="18"/>
        </w:rPr>
        <w:t>Klíčové úspěchy a výzvy v oblasti udržitelnosti</w:t>
      </w:r>
    </w:p>
    <w:p w14:paraId="255528C9" w14:textId="77777777" w:rsidR="00925999" w:rsidRPr="001A1392" w:rsidRDefault="00000000">
      <w:pPr>
        <w:jc w:val="both"/>
        <w:rPr>
          <w:rFonts w:ascii="Verdana" w:eastAsia="Arial" w:hAnsi="Verdana"/>
          <w:sz w:val="18"/>
          <w:szCs w:val="18"/>
        </w:rPr>
      </w:pPr>
      <w:r w:rsidRPr="001A1392">
        <w:rPr>
          <w:rFonts w:ascii="Verdana" w:eastAsia="Arial" w:hAnsi="Verdana"/>
          <w:sz w:val="18"/>
          <w:szCs w:val="18"/>
        </w:rPr>
        <w:t>Naše obchodní strategie vychází z principů efektivity, ziskovosti a etického jednání. Základní pravidla a očekávané standardy chování jsou popsány v Etickém kodexu.</w:t>
      </w:r>
    </w:p>
    <w:p w14:paraId="4F0A7D7C" w14:textId="77777777" w:rsidR="00925999" w:rsidRPr="001A1392" w:rsidRDefault="00000000">
      <w:pPr>
        <w:jc w:val="both"/>
        <w:rPr>
          <w:rFonts w:ascii="Verdana" w:eastAsia="Arial" w:hAnsi="Verdana"/>
          <w:sz w:val="18"/>
          <w:szCs w:val="18"/>
        </w:rPr>
      </w:pPr>
      <w:r w:rsidRPr="001A1392">
        <w:rPr>
          <w:rFonts w:ascii="Verdana" w:eastAsia="Arial" w:hAnsi="Verdana"/>
          <w:sz w:val="18"/>
          <w:szCs w:val="18"/>
        </w:rPr>
        <w:t>S ohledem na vývoj automobilového průmyslu a náš přístup k odpovědnému podnikání se soustředíme zejména na následující oblasti:</w:t>
      </w:r>
    </w:p>
    <w:p w14:paraId="468259AE" w14:textId="77777777" w:rsidR="001A1392" w:rsidRDefault="001A1392" w:rsidP="001E139A">
      <w:pPr>
        <w:spacing w:before="240" w:after="240"/>
        <w:rPr>
          <w:rFonts w:ascii="Verdana" w:eastAsia="Arial" w:hAnsi="Verdana"/>
          <w:b/>
          <w:bCs/>
          <w:sz w:val="18"/>
          <w:szCs w:val="18"/>
        </w:rPr>
      </w:pPr>
    </w:p>
    <w:p w14:paraId="613FE242" w14:textId="77777777" w:rsidR="001A1392" w:rsidRDefault="00000000" w:rsidP="001E139A">
      <w:pPr>
        <w:spacing w:before="240" w:after="240"/>
        <w:rPr>
          <w:rFonts w:ascii="Verdana" w:eastAsia="Arial" w:hAnsi="Verdana"/>
          <w:b/>
          <w:bCs/>
          <w:sz w:val="18"/>
          <w:szCs w:val="18"/>
        </w:rPr>
      </w:pPr>
      <w:r w:rsidRPr="001A1392">
        <w:rPr>
          <w:rFonts w:ascii="Verdana" w:eastAsia="Arial" w:hAnsi="Verdana"/>
          <w:b/>
          <w:bCs/>
          <w:sz w:val="18"/>
          <w:szCs w:val="18"/>
        </w:rPr>
        <w:lastRenderedPageBreak/>
        <w:t>Změna klimatu</w:t>
      </w:r>
    </w:p>
    <w:p w14:paraId="607CEF69" w14:textId="1F88E181" w:rsidR="00925999" w:rsidRPr="001A1392" w:rsidRDefault="00000000" w:rsidP="001A1392">
      <w:pPr>
        <w:spacing w:before="240" w:after="240"/>
        <w:jc w:val="both"/>
        <w:rPr>
          <w:rFonts w:ascii="Verdana" w:eastAsia="Arial" w:hAnsi="Verdana"/>
          <w:sz w:val="18"/>
          <w:szCs w:val="18"/>
        </w:rPr>
      </w:pPr>
      <w:r w:rsidRPr="001A1392">
        <w:rPr>
          <w:rFonts w:ascii="Verdana" w:eastAsia="Arial" w:hAnsi="Verdana"/>
          <w:sz w:val="18"/>
          <w:szCs w:val="18"/>
        </w:rPr>
        <w:br/>
        <w:t xml:space="preserve">V roce 2025 jsme se zaměřili na výpočet uhlíkové stopy společnosti ve Scope 1 a 2. Cílem </w:t>
      </w:r>
      <w:r w:rsidR="001A1392" w:rsidRPr="001A1392">
        <w:rPr>
          <w:rFonts w:ascii="Verdana" w:eastAsia="Arial" w:hAnsi="Verdana"/>
          <w:sz w:val="18"/>
          <w:szCs w:val="18"/>
        </w:rPr>
        <w:t>bylo</w:t>
      </w:r>
      <w:r w:rsidRPr="001A1392">
        <w:rPr>
          <w:rFonts w:ascii="Verdana" w:eastAsia="Arial" w:hAnsi="Verdana"/>
          <w:sz w:val="18"/>
          <w:szCs w:val="18"/>
        </w:rPr>
        <w:t xml:space="preserve"> identifikovat hlavní zdroje emisí a vytvořit datový základ pro návrh účinných opatření k jejich postupnému snižování.</w:t>
      </w:r>
    </w:p>
    <w:p w14:paraId="7AAC62FA" w14:textId="77777777" w:rsidR="001A1392" w:rsidRDefault="00000000" w:rsidP="001E139A">
      <w:pPr>
        <w:spacing w:before="240" w:after="240"/>
        <w:rPr>
          <w:rFonts w:ascii="Verdana" w:eastAsia="Arial" w:hAnsi="Verdana"/>
          <w:b/>
          <w:bCs/>
          <w:sz w:val="18"/>
          <w:szCs w:val="18"/>
        </w:rPr>
      </w:pPr>
      <w:r w:rsidRPr="001A1392">
        <w:rPr>
          <w:rFonts w:ascii="Verdana" w:eastAsia="Arial" w:hAnsi="Verdana"/>
          <w:b/>
          <w:bCs/>
          <w:sz w:val="18"/>
          <w:szCs w:val="18"/>
        </w:rPr>
        <w:t>Vodní a mořské zdroje</w:t>
      </w:r>
    </w:p>
    <w:p w14:paraId="33F98888" w14:textId="692962FF" w:rsidR="00925999" w:rsidRPr="001A1392" w:rsidRDefault="00000000" w:rsidP="001A1392">
      <w:pPr>
        <w:spacing w:before="240" w:after="240"/>
        <w:jc w:val="both"/>
        <w:rPr>
          <w:rFonts w:ascii="Verdana" w:eastAsia="Arial" w:hAnsi="Verdana"/>
          <w:sz w:val="18"/>
          <w:szCs w:val="18"/>
        </w:rPr>
      </w:pPr>
      <w:r w:rsidRPr="001A1392">
        <w:rPr>
          <w:rFonts w:ascii="Verdana" w:eastAsia="Arial" w:hAnsi="Verdana"/>
          <w:sz w:val="18"/>
          <w:szCs w:val="18"/>
        </w:rPr>
        <w:br/>
        <w:t xml:space="preserve">Odpovědné hospodaření s vodou řídíme také s ohledem na požadavky Mercedes-Benz. Na pobočce v Zápech využíváme myčku s technologií recyklace vody. Po rekonstrukci showroomu v Liberci </w:t>
      </w:r>
      <w:r w:rsidR="001A1392">
        <w:rPr>
          <w:rFonts w:ascii="Verdana" w:eastAsia="Arial" w:hAnsi="Verdana"/>
          <w:sz w:val="18"/>
          <w:szCs w:val="18"/>
        </w:rPr>
        <w:t>bude</w:t>
      </w:r>
      <w:r w:rsidRPr="001A1392">
        <w:rPr>
          <w:rFonts w:ascii="Verdana" w:eastAsia="Arial" w:hAnsi="Verdana"/>
          <w:sz w:val="18"/>
          <w:szCs w:val="18"/>
        </w:rPr>
        <w:t xml:space="preserve"> tato technologie zavedena také v této lokalitě, čímž podporujeme šetrnější nakládání s vodními zdroji.</w:t>
      </w:r>
    </w:p>
    <w:p w14:paraId="53D197B5" w14:textId="77777777" w:rsidR="001A1392" w:rsidRDefault="00000000" w:rsidP="001E139A">
      <w:pPr>
        <w:spacing w:before="240" w:after="240"/>
        <w:rPr>
          <w:rFonts w:ascii="Verdana" w:eastAsia="Arial" w:hAnsi="Verdana"/>
          <w:b/>
          <w:bCs/>
          <w:sz w:val="18"/>
          <w:szCs w:val="18"/>
        </w:rPr>
      </w:pPr>
      <w:r w:rsidRPr="001A1392">
        <w:rPr>
          <w:rFonts w:ascii="Verdana" w:eastAsia="Arial" w:hAnsi="Verdana"/>
          <w:b/>
          <w:bCs/>
          <w:sz w:val="18"/>
          <w:szCs w:val="18"/>
        </w:rPr>
        <w:t>Biodiverzita a ekosystémy</w:t>
      </w:r>
    </w:p>
    <w:p w14:paraId="06F786C7" w14:textId="73C7D209" w:rsidR="00925999" w:rsidRPr="001A1392" w:rsidRDefault="00000000" w:rsidP="001A1392">
      <w:pPr>
        <w:spacing w:before="240" w:after="240"/>
        <w:jc w:val="both"/>
        <w:rPr>
          <w:rFonts w:ascii="Verdana" w:eastAsia="Arial" w:hAnsi="Verdana"/>
          <w:sz w:val="18"/>
          <w:szCs w:val="18"/>
        </w:rPr>
      </w:pPr>
      <w:r w:rsidRPr="001A1392">
        <w:rPr>
          <w:rFonts w:ascii="Verdana" w:eastAsia="Arial" w:hAnsi="Verdana"/>
          <w:sz w:val="18"/>
          <w:szCs w:val="18"/>
        </w:rPr>
        <w:br/>
        <w:t>K podpoře místního prostředí přispíváme terénními úpravami a výsadbou zeleně v okolí našich poboček. V Zápech jsme realizovali výsadbu stromů a keřů s cílem zlepšit mikroklima a estetickou hodnotu areálu; obdobná opatření realizujeme také v Liberci.</w:t>
      </w:r>
    </w:p>
    <w:p w14:paraId="1E364B0C" w14:textId="77777777" w:rsidR="001A1392" w:rsidRDefault="00000000" w:rsidP="001E139A">
      <w:pPr>
        <w:spacing w:before="240" w:after="240"/>
        <w:rPr>
          <w:rFonts w:ascii="Verdana" w:eastAsia="Arial" w:hAnsi="Verdana"/>
          <w:b/>
          <w:bCs/>
          <w:sz w:val="18"/>
          <w:szCs w:val="18"/>
        </w:rPr>
      </w:pPr>
      <w:r w:rsidRPr="001A1392">
        <w:rPr>
          <w:rFonts w:ascii="Verdana" w:eastAsia="Arial" w:hAnsi="Verdana"/>
          <w:b/>
          <w:bCs/>
          <w:sz w:val="18"/>
          <w:szCs w:val="18"/>
        </w:rPr>
        <w:t>Oběhové hospodářství</w:t>
      </w:r>
    </w:p>
    <w:p w14:paraId="60FA2AB3" w14:textId="2AB5DEEF" w:rsidR="00925999" w:rsidRPr="001A1392" w:rsidRDefault="00000000" w:rsidP="001A1392">
      <w:pPr>
        <w:spacing w:before="240" w:after="240"/>
        <w:jc w:val="both"/>
        <w:rPr>
          <w:rFonts w:ascii="Verdana" w:eastAsia="Arial" w:hAnsi="Verdana"/>
          <w:sz w:val="18"/>
          <w:szCs w:val="18"/>
        </w:rPr>
      </w:pPr>
      <w:r w:rsidRPr="001A1392">
        <w:rPr>
          <w:rFonts w:ascii="Verdana" w:eastAsia="Arial" w:hAnsi="Verdana"/>
          <w:b/>
          <w:bCs/>
          <w:sz w:val="18"/>
          <w:szCs w:val="18"/>
        </w:rPr>
        <w:br/>
      </w:r>
      <w:r w:rsidRPr="001A1392">
        <w:rPr>
          <w:rFonts w:ascii="Verdana" w:eastAsia="Arial" w:hAnsi="Verdana"/>
          <w:sz w:val="18"/>
          <w:szCs w:val="18"/>
        </w:rPr>
        <w:t>Ve všech showroomových a servisních provozech máme zaveden systém třídění odpadů v souladu s legislativními požadavky a interními standardy. Na odpadovém hospodářství spolupracujeme se společností AVE CZ odpadové hospodářství s.r.o. a průběžně hledáme další možnosti, jak omezovat vznik odpadu a podporovat principy oběhového hospodářství.</w:t>
      </w:r>
    </w:p>
    <w:p w14:paraId="5A3C5E8D" w14:textId="77777777" w:rsidR="001A1392" w:rsidRDefault="00000000" w:rsidP="001E139A">
      <w:pPr>
        <w:spacing w:before="240" w:after="240"/>
        <w:rPr>
          <w:rFonts w:ascii="Verdana" w:eastAsia="Arial" w:hAnsi="Verdana"/>
          <w:b/>
          <w:bCs/>
          <w:sz w:val="18"/>
          <w:szCs w:val="18"/>
        </w:rPr>
      </w:pPr>
      <w:r w:rsidRPr="001A1392">
        <w:rPr>
          <w:rFonts w:ascii="Verdana" w:eastAsia="Arial" w:hAnsi="Verdana"/>
          <w:b/>
          <w:bCs/>
          <w:sz w:val="18"/>
          <w:szCs w:val="18"/>
        </w:rPr>
        <w:t>Vlastní pracovní síla</w:t>
      </w:r>
    </w:p>
    <w:p w14:paraId="78450DE2" w14:textId="23E9C522" w:rsidR="00925999" w:rsidRPr="001A1392" w:rsidRDefault="00000000" w:rsidP="001A1392">
      <w:pPr>
        <w:spacing w:before="240" w:after="240"/>
        <w:jc w:val="both"/>
        <w:rPr>
          <w:rFonts w:ascii="Verdana" w:eastAsia="Arial" w:hAnsi="Verdana"/>
          <w:sz w:val="18"/>
          <w:szCs w:val="18"/>
        </w:rPr>
      </w:pPr>
      <w:r w:rsidRPr="001A1392">
        <w:rPr>
          <w:rFonts w:ascii="Verdana" w:eastAsia="Arial" w:hAnsi="Verdana"/>
          <w:sz w:val="18"/>
          <w:szCs w:val="18"/>
        </w:rPr>
        <w:br/>
        <w:t xml:space="preserve">Věnujeme pozornost rovným podmínkám a spravedlivému odměňování. V roce 2024 jsme provedli výpočet gender </w:t>
      </w:r>
      <w:proofErr w:type="spellStart"/>
      <w:r w:rsidRPr="001A1392">
        <w:rPr>
          <w:rFonts w:ascii="Verdana" w:eastAsia="Arial" w:hAnsi="Verdana"/>
          <w:sz w:val="18"/>
          <w:szCs w:val="18"/>
        </w:rPr>
        <w:t>pay</w:t>
      </w:r>
      <w:proofErr w:type="spellEnd"/>
      <w:r w:rsidRPr="001A1392">
        <w:rPr>
          <w:rFonts w:ascii="Verdana" w:eastAsia="Arial" w:hAnsi="Verdana"/>
          <w:sz w:val="18"/>
          <w:szCs w:val="18"/>
        </w:rPr>
        <w:t xml:space="preserve"> gap</w:t>
      </w:r>
      <w:r w:rsidR="001A1392">
        <w:rPr>
          <w:rFonts w:ascii="Verdana" w:eastAsia="Arial" w:hAnsi="Verdana"/>
          <w:sz w:val="18"/>
          <w:szCs w:val="18"/>
        </w:rPr>
        <w:t>, na který dalším rokem navazujeme</w:t>
      </w:r>
      <w:r w:rsidRPr="001A1392">
        <w:rPr>
          <w:rFonts w:ascii="Verdana" w:eastAsia="Arial" w:hAnsi="Verdana"/>
          <w:sz w:val="18"/>
          <w:szCs w:val="18"/>
        </w:rPr>
        <w:t>. Zaměstnanci pravidelně absolvují školení zaměřená na kvalitu služeb, férový přístup k zákazníkům a odborný rozvoj, včetně jazykového vzdělávání.</w:t>
      </w:r>
    </w:p>
    <w:p w14:paraId="0E4176D1" w14:textId="77777777" w:rsidR="001A1392" w:rsidRDefault="00000000" w:rsidP="001E139A">
      <w:pPr>
        <w:spacing w:before="240" w:after="240"/>
        <w:rPr>
          <w:rFonts w:ascii="Verdana" w:eastAsia="Arial" w:hAnsi="Verdana"/>
          <w:b/>
          <w:bCs/>
          <w:sz w:val="18"/>
          <w:szCs w:val="18"/>
        </w:rPr>
      </w:pPr>
      <w:r w:rsidRPr="001A1392">
        <w:rPr>
          <w:rFonts w:ascii="Verdana" w:eastAsia="Arial" w:hAnsi="Verdana"/>
          <w:b/>
          <w:bCs/>
          <w:sz w:val="18"/>
          <w:szCs w:val="18"/>
        </w:rPr>
        <w:t>Spotřebitelé a koncoví uživatelé</w:t>
      </w:r>
    </w:p>
    <w:p w14:paraId="0C3296C8" w14:textId="59041FB6" w:rsidR="00925999" w:rsidRPr="001A1392" w:rsidRDefault="00000000" w:rsidP="001A1392">
      <w:pPr>
        <w:spacing w:before="240" w:after="240"/>
        <w:jc w:val="both"/>
        <w:rPr>
          <w:rFonts w:ascii="Verdana" w:eastAsia="Arial" w:hAnsi="Verdana"/>
          <w:sz w:val="18"/>
          <w:szCs w:val="18"/>
        </w:rPr>
      </w:pPr>
      <w:r w:rsidRPr="001A1392">
        <w:rPr>
          <w:rFonts w:ascii="Verdana" w:eastAsia="Arial" w:hAnsi="Verdana"/>
          <w:sz w:val="18"/>
          <w:szCs w:val="18"/>
        </w:rPr>
        <w:br/>
        <w:t>Odpovědný přístup k zákazníkům je důležitou součástí našeho podnikání. Zřízené call centrum podporuje dostupnou, profesionální a transparentní komunikaci se zákazníky.</w:t>
      </w:r>
    </w:p>
    <w:p w14:paraId="11E8BD44" w14:textId="77777777" w:rsidR="001A1392" w:rsidRDefault="00000000" w:rsidP="001A1392">
      <w:pPr>
        <w:spacing w:before="240" w:after="240"/>
        <w:rPr>
          <w:rFonts w:ascii="Verdana" w:eastAsia="Arial" w:hAnsi="Verdana"/>
          <w:b/>
          <w:bCs/>
          <w:sz w:val="18"/>
          <w:szCs w:val="18"/>
        </w:rPr>
      </w:pPr>
      <w:r w:rsidRPr="001A1392">
        <w:rPr>
          <w:rFonts w:ascii="Verdana" w:eastAsia="Arial" w:hAnsi="Verdana"/>
          <w:b/>
          <w:bCs/>
          <w:sz w:val="18"/>
          <w:szCs w:val="18"/>
        </w:rPr>
        <w:t>Obchodní chování</w:t>
      </w:r>
    </w:p>
    <w:p w14:paraId="288709E2" w14:textId="0077E069" w:rsidR="00925999" w:rsidRDefault="00000000" w:rsidP="001A1392">
      <w:pPr>
        <w:spacing w:before="240" w:after="240"/>
        <w:jc w:val="both"/>
        <w:rPr>
          <w:rFonts w:ascii="Verdana" w:eastAsia="Arial" w:hAnsi="Verdana"/>
          <w:sz w:val="18"/>
          <w:szCs w:val="18"/>
        </w:rPr>
      </w:pPr>
      <w:r w:rsidRPr="001A1392">
        <w:rPr>
          <w:rFonts w:ascii="Verdana" w:eastAsia="Arial" w:hAnsi="Verdana"/>
          <w:sz w:val="18"/>
          <w:szCs w:val="18"/>
        </w:rPr>
        <w:br/>
      </w:r>
      <w:r w:rsidR="001A1392" w:rsidRPr="001A1392">
        <w:rPr>
          <w:rFonts w:ascii="Verdana" w:eastAsia="Arial" w:hAnsi="Verdana"/>
          <w:sz w:val="18"/>
          <w:szCs w:val="18"/>
        </w:rPr>
        <w:t>Řídíme se Etickým kodexem Mercedes-Benz, který stanovuje vysoké standardy etiky, integrity a odpovědného podnikání. Zaměstnanci napříč společností jsou s jeho požadavky pravidelně seznamováni a dbáme na jejich dodržování v každodenní praxi. Součástí odpovědného řízení společnosti je rovněž oblast kybernetické bezpečnosti a ochrany informačních systémů. V této oblasti zohledňujeme relevantní požadavky a principy digitální provozní odolnosti, včetně principů vycházejících z nařízení DORA, zejména v oblasti řízení ICT rizik, ochrany dat, prevence kybernetických incidentů a zajištění kontinuity provozu.</w:t>
      </w:r>
    </w:p>
    <w:p w14:paraId="76B65B96" w14:textId="77777777" w:rsidR="001A1392" w:rsidRDefault="001A1392" w:rsidP="001A1392">
      <w:pPr>
        <w:spacing w:before="240" w:after="240"/>
        <w:jc w:val="both"/>
        <w:rPr>
          <w:rFonts w:ascii="Verdana" w:eastAsia="Arial" w:hAnsi="Verdana"/>
          <w:sz w:val="18"/>
          <w:szCs w:val="18"/>
        </w:rPr>
      </w:pPr>
    </w:p>
    <w:p w14:paraId="779CF6BC" w14:textId="77777777" w:rsidR="001A1392" w:rsidRPr="001A1392" w:rsidRDefault="001A1392" w:rsidP="001A1392">
      <w:pPr>
        <w:spacing w:before="240" w:after="240"/>
        <w:jc w:val="both"/>
        <w:rPr>
          <w:rFonts w:ascii="Verdana" w:eastAsia="Arial" w:hAnsi="Verdana"/>
          <w:sz w:val="18"/>
          <w:szCs w:val="18"/>
        </w:rPr>
      </w:pPr>
    </w:p>
    <w:p w14:paraId="5F92EEB4" w14:textId="77777777" w:rsidR="00925999" w:rsidRPr="001A1392" w:rsidRDefault="00000000">
      <w:pPr>
        <w:numPr>
          <w:ilvl w:val="1"/>
          <w:numId w:val="3"/>
        </w:numPr>
        <w:pBdr>
          <w:top w:val="nil"/>
          <w:left w:val="nil"/>
          <w:bottom w:val="nil"/>
          <w:right w:val="nil"/>
          <w:between w:val="nil"/>
        </w:pBdr>
        <w:jc w:val="both"/>
        <w:rPr>
          <w:rFonts w:ascii="Verdana" w:eastAsia="Arial" w:hAnsi="Verdana"/>
          <w:b/>
          <w:bCs/>
          <w:color w:val="000000"/>
          <w:sz w:val="18"/>
          <w:szCs w:val="18"/>
        </w:rPr>
      </w:pPr>
      <w:r w:rsidRPr="001A1392">
        <w:rPr>
          <w:rFonts w:ascii="Verdana" w:eastAsia="Arial" w:hAnsi="Verdana"/>
          <w:b/>
          <w:bCs/>
          <w:color w:val="000000"/>
          <w:sz w:val="18"/>
          <w:szCs w:val="18"/>
        </w:rPr>
        <w:lastRenderedPageBreak/>
        <w:t>Rozsah a období vykazování</w:t>
      </w:r>
    </w:p>
    <w:p w14:paraId="22DC53CC" w14:textId="77777777" w:rsidR="00925999" w:rsidRPr="001A1392" w:rsidRDefault="00000000">
      <w:pPr>
        <w:jc w:val="both"/>
        <w:rPr>
          <w:rFonts w:ascii="Verdana" w:eastAsia="Arial" w:hAnsi="Verdana"/>
          <w:sz w:val="18"/>
          <w:szCs w:val="18"/>
        </w:rPr>
      </w:pPr>
      <w:r w:rsidRPr="001A1392">
        <w:rPr>
          <w:rFonts w:ascii="Verdana" w:eastAsia="Arial" w:hAnsi="Verdana"/>
          <w:sz w:val="18"/>
          <w:szCs w:val="18"/>
        </w:rPr>
        <w:t>Zpráva se vztahuje na činnosti společnosti a poskytuje ucelený pohled na jejich dopady na životní prostředí, zaměstnance, zákazníky a další zainteresované strany. Zohledňuje přitom jak vlastní provoz, tak relevantní vazby v dodavatelském řetězci.</w:t>
      </w:r>
    </w:p>
    <w:p w14:paraId="79877BDE" w14:textId="77777777" w:rsidR="00925999" w:rsidRPr="001A1392" w:rsidRDefault="00000000">
      <w:pPr>
        <w:jc w:val="both"/>
        <w:rPr>
          <w:rFonts w:ascii="Verdana" w:eastAsia="Arial" w:hAnsi="Verdana"/>
          <w:sz w:val="18"/>
          <w:szCs w:val="18"/>
        </w:rPr>
      </w:pPr>
      <w:r w:rsidRPr="001A1392">
        <w:rPr>
          <w:rFonts w:ascii="Verdana" w:eastAsia="Arial" w:hAnsi="Verdana"/>
          <w:sz w:val="18"/>
          <w:szCs w:val="18"/>
        </w:rPr>
        <w:t>Vykazovaným obdobím je fiskální rok končící 31. prosince 2025. Zpráva tak shrnuje výsledky, aktivity a pokrok společnosti v oblasti udržitelnosti za rok 2025.</w:t>
      </w:r>
    </w:p>
    <w:p w14:paraId="5DA7EDC8" w14:textId="77777777" w:rsidR="00925999" w:rsidRPr="001A1392" w:rsidRDefault="00000000">
      <w:pPr>
        <w:spacing w:before="240" w:after="240"/>
        <w:jc w:val="both"/>
        <w:rPr>
          <w:rFonts w:ascii="Verdana" w:eastAsia="Arial" w:hAnsi="Verdana"/>
          <w:sz w:val="18"/>
          <w:szCs w:val="18"/>
        </w:rPr>
      </w:pPr>
      <w:r w:rsidRPr="001A1392">
        <w:rPr>
          <w:rFonts w:ascii="Verdana" w:eastAsia="Arial" w:hAnsi="Verdana"/>
          <w:sz w:val="18"/>
          <w:szCs w:val="18"/>
        </w:rPr>
        <w:t>Zpráva zároveň vytváří výchozí základ pro meziroční srovnávání a systematické sledování vývoje našich aktivit v oblasti udržitelnosti. Při jejím zpracování vycházíme z dobrovolného standardu VSME (Voluntary SME Sustainability Reporting Standard), evropského rámce určeného zejména malým a středním podnikům. VSME umožňuje strukturovaně a přehledně vykazovat informace o environmentálních, sociálních a správních tématech i podnikům, na které se přímo nevztahuje povinné vykazování podle CSRD a ESRS.</w:t>
      </w:r>
    </w:p>
    <w:p w14:paraId="0E59EE59" w14:textId="77777777" w:rsidR="00925999" w:rsidRPr="001A1392" w:rsidRDefault="00000000">
      <w:pPr>
        <w:spacing w:before="240" w:after="240"/>
        <w:jc w:val="both"/>
        <w:rPr>
          <w:rFonts w:ascii="Verdana" w:eastAsia="Arial" w:hAnsi="Verdana"/>
          <w:sz w:val="18"/>
          <w:szCs w:val="18"/>
        </w:rPr>
      </w:pPr>
      <w:r w:rsidRPr="001A1392">
        <w:rPr>
          <w:rFonts w:ascii="Verdana" w:eastAsia="Arial" w:hAnsi="Verdana"/>
          <w:sz w:val="18"/>
          <w:szCs w:val="18"/>
        </w:rPr>
        <w:t>Využití tohoto rámce nám umožňuje prezentovat informace o udržitelnosti jednotným a transparentním způsobem, sledovat plnění stanovených cílů a závazků a poskytovat relevantní informace zákazníkům, obchodním partnerům, zaměstnancům i dalším zainteresovaným stranám.</w:t>
      </w:r>
    </w:p>
    <w:p w14:paraId="2B1973E5" w14:textId="77777777" w:rsidR="00925999" w:rsidRPr="001A1392" w:rsidRDefault="00000000">
      <w:pPr>
        <w:spacing w:before="240" w:after="240"/>
        <w:jc w:val="both"/>
        <w:rPr>
          <w:rFonts w:ascii="Verdana" w:eastAsia="Arial" w:hAnsi="Verdana"/>
          <w:sz w:val="18"/>
          <w:szCs w:val="18"/>
        </w:rPr>
      </w:pPr>
      <w:r w:rsidRPr="001A1392">
        <w:rPr>
          <w:rFonts w:ascii="Verdana" w:eastAsia="Arial" w:hAnsi="Verdana"/>
          <w:sz w:val="18"/>
          <w:szCs w:val="18"/>
        </w:rPr>
        <w:t>VSME tak pro nás představuje rámec pro budoucí srovnávání a systematické sledování vývoje ESG aktivit společnosti.</w:t>
      </w:r>
    </w:p>
    <w:p w14:paraId="0A7FEE70" w14:textId="77777777" w:rsidR="00925999" w:rsidRPr="001A1392" w:rsidRDefault="00000000">
      <w:pPr>
        <w:numPr>
          <w:ilvl w:val="1"/>
          <w:numId w:val="3"/>
        </w:numPr>
        <w:pBdr>
          <w:top w:val="nil"/>
          <w:left w:val="nil"/>
          <w:bottom w:val="nil"/>
          <w:right w:val="nil"/>
          <w:between w:val="nil"/>
        </w:pBdr>
        <w:jc w:val="both"/>
        <w:rPr>
          <w:rFonts w:ascii="Verdana" w:eastAsia="Arial" w:hAnsi="Verdana"/>
          <w:b/>
          <w:bCs/>
          <w:color w:val="000000"/>
          <w:sz w:val="18"/>
          <w:szCs w:val="18"/>
        </w:rPr>
      </w:pPr>
      <w:r w:rsidRPr="001A1392">
        <w:rPr>
          <w:rFonts w:ascii="Verdana" w:eastAsia="Arial" w:hAnsi="Verdana"/>
          <w:b/>
          <w:bCs/>
          <w:color w:val="000000"/>
          <w:sz w:val="18"/>
          <w:szCs w:val="18"/>
        </w:rPr>
        <w:t>O společnosti</w:t>
      </w:r>
    </w:p>
    <w:p w14:paraId="68EAF4C9" w14:textId="77777777" w:rsidR="00925999" w:rsidRPr="001A1392" w:rsidRDefault="00000000">
      <w:pPr>
        <w:spacing w:before="240" w:after="240"/>
        <w:jc w:val="both"/>
        <w:rPr>
          <w:rFonts w:ascii="Verdana" w:eastAsia="Arial" w:hAnsi="Verdana"/>
          <w:sz w:val="18"/>
          <w:szCs w:val="18"/>
        </w:rPr>
      </w:pPr>
      <w:r w:rsidRPr="001A1392">
        <w:rPr>
          <w:rFonts w:ascii="Verdana" w:eastAsia="Arial" w:hAnsi="Verdana"/>
          <w:sz w:val="18"/>
          <w:szCs w:val="18"/>
        </w:rPr>
        <w:t>Při hodnocení našich aktivit v oblasti udržitelnosti vycházíme z dlouholeté tradice společnosti, jejího postavení na trhu a schopnosti reagovat na měnící se potřeby zákazníků.</w:t>
      </w:r>
    </w:p>
    <w:p w14:paraId="18BDA268" w14:textId="77777777" w:rsidR="00925999" w:rsidRPr="001A1392" w:rsidRDefault="00000000">
      <w:pPr>
        <w:spacing w:before="240" w:after="240"/>
        <w:jc w:val="both"/>
        <w:rPr>
          <w:rFonts w:ascii="Verdana" w:eastAsia="Arial" w:hAnsi="Verdana"/>
          <w:sz w:val="18"/>
          <w:szCs w:val="18"/>
        </w:rPr>
      </w:pPr>
      <w:r w:rsidRPr="001A1392">
        <w:rPr>
          <w:rFonts w:ascii="Verdana" w:eastAsia="Arial" w:hAnsi="Verdana"/>
          <w:sz w:val="18"/>
          <w:szCs w:val="18"/>
        </w:rPr>
        <w:t>Udržitelnost pro nás znamená rozvíjet podnikání tak, abychom dokázali naplňovat současné potřeby a současně zohledňovali dlouhodobé dopady našich rozhodnutí.</w:t>
      </w:r>
    </w:p>
    <w:p w14:paraId="3E0C2C06" w14:textId="77777777" w:rsidR="00925999" w:rsidRPr="001A1392" w:rsidRDefault="00000000">
      <w:pPr>
        <w:spacing w:before="240" w:after="240"/>
        <w:jc w:val="both"/>
        <w:rPr>
          <w:rFonts w:ascii="Verdana" w:eastAsia="Arial" w:hAnsi="Verdana"/>
          <w:sz w:val="18"/>
          <w:szCs w:val="18"/>
          <w:highlight w:val="yellow"/>
        </w:rPr>
      </w:pPr>
      <w:r w:rsidRPr="001A1392">
        <w:rPr>
          <w:rFonts w:ascii="Verdana" w:eastAsia="Arial" w:hAnsi="Verdana"/>
          <w:sz w:val="18"/>
          <w:szCs w:val="18"/>
        </w:rPr>
        <w:t>Důležitou součástí tohoto přístupu je také kvalitní správa a řízení společnosti založené na transparentnosti, odpovědnosti a etickém rozhodování.</w:t>
      </w:r>
    </w:p>
    <w:p w14:paraId="7401BD84" w14:textId="77777777" w:rsidR="00925999" w:rsidRPr="001A1392" w:rsidRDefault="00000000">
      <w:pPr>
        <w:spacing w:before="240" w:after="240"/>
        <w:jc w:val="both"/>
        <w:rPr>
          <w:rFonts w:ascii="Verdana" w:eastAsia="Arial" w:hAnsi="Verdana"/>
          <w:b/>
          <w:bCs/>
          <w:color w:val="000000"/>
          <w:sz w:val="18"/>
          <w:szCs w:val="18"/>
        </w:rPr>
      </w:pPr>
      <w:r w:rsidRPr="001A1392">
        <w:rPr>
          <w:rFonts w:ascii="Verdana" w:eastAsia="Arial" w:hAnsi="Verdana"/>
          <w:b/>
          <w:bCs/>
          <w:color w:val="000000"/>
          <w:sz w:val="18"/>
          <w:szCs w:val="18"/>
        </w:rPr>
        <w:t>Přehled podnikání</w:t>
      </w:r>
    </w:p>
    <w:p w14:paraId="01D05AE8" w14:textId="2B012DD9" w:rsidR="00925999" w:rsidRPr="001A1392" w:rsidRDefault="00000000">
      <w:pPr>
        <w:jc w:val="both"/>
        <w:rPr>
          <w:rFonts w:ascii="Verdana" w:eastAsia="Arial" w:hAnsi="Verdana"/>
          <w:sz w:val="18"/>
          <w:szCs w:val="18"/>
        </w:rPr>
      </w:pPr>
      <w:r w:rsidRPr="001A1392">
        <w:rPr>
          <w:rFonts w:ascii="Verdana" w:eastAsia="Arial" w:hAnsi="Verdana"/>
          <w:sz w:val="18"/>
          <w:szCs w:val="18"/>
        </w:rPr>
        <w:t>Společnost Hoffmann a Žižák, spol. s r.o. patří již tři desetiletí mezi stabilní partnery značek Mercedes-Benz a Daimler Truck v České republice. Od svého založení v roce 1995 staví svůj rozvoj na profesionalitě, důvěře, individuálním přístupu k zákazníkům a vysoké kvalitě poskytovaných služeb.</w:t>
      </w:r>
    </w:p>
    <w:p w14:paraId="313C239D" w14:textId="77777777" w:rsidR="00925999" w:rsidRPr="001A1392" w:rsidRDefault="00000000">
      <w:pPr>
        <w:jc w:val="both"/>
        <w:rPr>
          <w:rFonts w:ascii="Verdana" w:eastAsia="Arial" w:hAnsi="Verdana"/>
          <w:sz w:val="18"/>
          <w:szCs w:val="18"/>
        </w:rPr>
      </w:pPr>
      <w:r w:rsidRPr="001A1392">
        <w:rPr>
          <w:rFonts w:ascii="Verdana" w:eastAsia="Arial" w:hAnsi="Verdana"/>
          <w:sz w:val="18"/>
          <w:szCs w:val="18"/>
        </w:rPr>
        <w:t>První obchodní centrum společnosti vzniklo v roce 1996 v Brandýse nad Labem. Od počátku bylo cílem poskytovat zákazníkům komplexní služby na jednom místě – od prodeje osobních a užitkových vozidel přes autorizovaný servis až po financování, pojištění a následnou péči v průběhu životního cyklu vozidla. Díky dlouhodobé orientaci na potřeby zákazníků si společnost postupně vybudovala silné postavení v regionu a stala se významným partnerem pro soukromé zákazníky, podnikatele i velké firemní flotily.</w:t>
      </w:r>
    </w:p>
    <w:p w14:paraId="6B2F13C1" w14:textId="77777777" w:rsidR="00925999" w:rsidRPr="001A1392" w:rsidRDefault="00000000">
      <w:pPr>
        <w:jc w:val="both"/>
        <w:rPr>
          <w:rFonts w:ascii="Verdana" w:eastAsia="Arial" w:hAnsi="Verdana"/>
          <w:sz w:val="18"/>
          <w:szCs w:val="18"/>
        </w:rPr>
      </w:pPr>
      <w:r w:rsidRPr="001A1392">
        <w:rPr>
          <w:rFonts w:ascii="Verdana" w:eastAsia="Arial" w:hAnsi="Verdana"/>
          <w:sz w:val="18"/>
          <w:szCs w:val="18"/>
        </w:rPr>
        <w:t>Dalším významným krokem bylo rozšíření působnosti do Liberce, kde společnost vybudovala moderní obchodní a servisní zázemí. Tím zvýšila dostupnost svých služeb pro zákazníky v severních Čechách a dále rozšířila jejich portfolio. V roce 2024 byl dokončen nový showroom ojetých vozidel v areálu Zápy u Brandýsa nad Labem, který navazuje na dlouhodobou strategii rozvoje společnosti a zvyšování kvality zákaznického servisu.</w:t>
      </w:r>
    </w:p>
    <w:p w14:paraId="0815BC2B" w14:textId="77777777" w:rsidR="00925999" w:rsidRPr="001A1392" w:rsidRDefault="00000000">
      <w:pPr>
        <w:jc w:val="both"/>
        <w:rPr>
          <w:rFonts w:ascii="Verdana" w:eastAsia="Arial" w:hAnsi="Verdana"/>
          <w:sz w:val="18"/>
          <w:szCs w:val="18"/>
        </w:rPr>
      </w:pPr>
      <w:r w:rsidRPr="001A1392">
        <w:rPr>
          <w:rFonts w:ascii="Verdana" w:eastAsia="Arial" w:hAnsi="Verdana"/>
          <w:sz w:val="18"/>
          <w:szCs w:val="18"/>
        </w:rPr>
        <w:t>V současnosti Hoffmann a Žižák, spol. s r.o. nabízí komplexní portfolio služeb zahrnující prodej nových vozidel Mercedes-Benz a Daimler Truck, certifikovaných ojetých vozidel, autorizovaný záruční i pozáruční servis, diagnostiku a opravy, pneuservis, ověřování tachografů, financování, pojištění a další doprovodné služby. Propojení obchodních, servisních a poradenských služeb umožňuje reagovat na individuální potřeby jednotlivých zákazníků.</w:t>
      </w:r>
    </w:p>
    <w:p w14:paraId="44E0640F" w14:textId="77777777" w:rsidR="00925999" w:rsidRPr="001A1392" w:rsidRDefault="00000000">
      <w:pPr>
        <w:jc w:val="both"/>
        <w:rPr>
          <w:rFonts w:ascii="Verdana" w:eastAsia="Arial" w:hAnsi="Verdana"/>
          <w:sz w:val="18"/>
          <w:szCs w:val="18"/>
        </w:rPr>
      </w:pPr>
      <w:r w:rsidRPr="001A1392">
        <w:rPr>
          <w:rFonts w:ascii="Verdana" w:eastAsia="Arial" w:hAnsi="Verdana"/>
          <w:sz w:val="18"/>
          <w:szCs w:val="18"/>
        </w:rPr>
        <w:lastRenderedPageBreak/>
        <w:t>Významnou součástí firemní strategie jsou dlouhodobé investice do moderních technologií, digitalizace a rozvoje zaměstnanců. Společnost průběžně zavádí aktuální standardy výrobců Mercedes-Benz a Daimler Truck, modernizuje servisní vybavení, rozvíjí digitální procesy a podporuje odborné vzdělávání zaměstnanců. Díky tomu může reagovat na rychle se měnící požadavky automobilového odvětví a udržovat vysokou úroveň poskytovaných služeb.</w:t>
      </w:r>
    </w:p>
    <w:p w14:paraId="6F6B7441" w14:textId="77777777" w:rsidR="00925999" w:rsidRPr="001A1392" w:rsidRDefault="00000000">
      <w:pPr>
        <w:jc w:val="both"/>
        <w:rPr>
          <w:rFonts w:ascii="Verdana" w:eastAsia="Arial" w:hAnsi="Verdana"/>
          <w:sz w:val="18"/>
          <w:szCs w:val="18"/>
        </w:rPr>
      </w:pPr>
      <w:r w:rsidRPr="001A1392">
        <w:rPr>
          <w:rFonts w:ascii="Verdana" w:eastAsia="Arial" w:hAnsi="Verdana"/>
          <w:sz w:val="18"/>
          <w:szCs w:val="18"/>
        </w:rPr>
        <w:t>V návaznosti na svůj přístup ke kvalitě, udržitelnosti a bezpečnosti společnost průběžně zdokonaluje interní procesy a systémy managementu. Je držitelem certifikace ISO 9001.</w:t>
      </w:r>
    </w:p>
    <w:p w14:paraId="0857D588" w14:textId="77777777" w:rsidR="00925999" w:rsidRPr="001A1392" w:rsidRDefault="00000000">
      <w:pPr>
        <w:spacing w:before="240" w:after="240"/>
        <w:jc w:val="both"/>
        <w:rPr>
          <w:rFonts w:ascii="Verdana" w:eastAsia="Arial" w:hAnsi="Verdana"/>
          <w:b/>
          <w:bCs/>
          <w:sz w:val="18"/>
          <w:szCs w:val="18"/>
        </w:rPr>
      </w:pPr>
      <w:r w:rsidRPr="001A1392">
        <w:rPr>
          <w:rFonts w:ascii="Verdana" w:eastAsia="Arial" w:hAnsi="Verdana"/>
          <w:b/>
          <w:bCs/>
          <w:sz w:val="18"/>
          <w:szCs w:val="18"/>
        </w:rPr>
        <w:t>Byznys model a udržitelnost</w:t>
      </w:r>
    </w:p>
    <w:p w14:paraId="2CA775E2" w14:textId="77777777" w:rsidR="00925999" w:rsidRPr="001A1392" w:rsidRDefault="00000000">
      <w:pPr>
        <w:spacing w:before="240" w:after="240"/>
        <w:jc w:val="both"/>
        <w:rPr>
          <w:rFonts w:ascii="Verdana" w:eastAsia="Arial" w:hAnsi="Verdana"/>
          <w:sz w:val="18"/>
          <w:szCs w:val="18"/>
        </w:rPr>
      </w:pPr>
      <w:r w:rsidRPr="001A1392">
        <w:rPr>
          <w:rFonts w:ascii="Verdana" w:eastAsia="Arial" w:hAnsi="Verdana"/>
          <w:sz w:val="18"/>
          <w:szCs w:val="18"/>
        </w:rPr>
        <w:t>Působíme na trhu v České republice a obsluhujeme jak firemní klientelu (B2B), tak koncové zákazníky v maloobchodním prodeji. Mezi naše klíčové obchodní partnery patří zejména Mercedes-Benz AG a Daimler Truck AG, se kterými udržujeme dlouhodobé dodavatelské vztahy. Vozidla distribuujeme prostřednictvím vlastních showroomů a online kanálů. Hlavními uživateli našich produktů a služeb jsou provozovatelé a majitelé osobních, užitkových a nákladních vozidel značek Mercedes-Benz a Daimler Truck.</w:t>
      </w:r>
    </w:p>
    <w:p w14:paraId="2F6230C6" w14:textId="77777777" w:rsidR="00925999" w:rsidRPr="001A1392" w:rsidRDefault="00000000">
      <w:pPr>
        <w:spacing w:before="240" w:after="240"/>
        <w:jc w:val="both"/>
        <w:rPr>
          <w:rFonts w:ascii="Verdana" w:eastAsia="Arial" w:hAnsi="Verdana"/>
          <w:sz w:val="18"/>
          <w:szCs w:val="18"/>
        </w:rPr>
      </w:pPr>
      <w:r w:rsidRPr="001A1392">
        <w:rPr>
          <w:rFonts w:ascii="Verdana" w:eastAsia="Arial" w:hAnsi="Verdana"/>
          <w:sz w:val="18"/>
          <w:szCs w:val="18"/>
        </w:rPr>
        <w:t>Ve spolupráci s klíčovými dodavateli podporujeme přechod k udržitelnějším dodavatelským řetězcům a cíle klimatické neutrality. Ve vlastním provozu se zaměřujeme na omezování environmentálních dopadů prostřednictvím zvyšování provozní efektivity, investic do energeticky úspornějších řešení a postupného zavádění principů oběhového hospodářství.</w:t>
      </w:r>
    </w:p>
    <w:p w14:paraId="64F5F551" w14:textId="77777777" w:rsidR="00925999" w:rsidRPr="001A1392" w:rsidRDefault="00000000">
      <w:pPr>
        <w:jc w:val="both"/>
        <w:rPr>
          <w:rFonts w:ascii="Verdana" w:eastAsia="Arial" w:hAnsi="Verdana"/>
          <w:sz w:val="18"/>
          <w:szCs w:val="18"/>
        </w:rPr>
      </w:pPr>
      <w:r w:rsidRPr="001A1392">
        <w:rPr>
          <w:rFonts w:ascii="Verdana" w:eastAsia="Arial" w:hAnsi="Verdana"/>
          <w:sz w:val="18"/>
          <w:szCs w:val="18"/>
        </w:rPr>
        <w:t xml:space="preserve">V posledních letech věnujeme principům udržitelného podnikání stále větší pozornost. ESG pro nás nepředstavuje pouze reakci na regulatorní požadavky, ale také rámec pro odpovědný dlouhodobý rozvoj společnosti. Sledujeme svou environmentální stopu, připravujeme výpočet emisí skleníkových plynů, investujeme do energeticky úsporných řešení, rozšiřujeme infrastrukturu pro elektromobilitu a připravujeme instalaci fotovoltaických elektráren ve svých provozovnách. Současně se zaměřujeme na efektivní hospodaření s energiemi, odpady a vodou, včetně využívání systémů recyklace vody v </w:t>
      </w:r>
      <w:proofErr w:type="spellStart"/>
      <w:r w:rsidRPr="001A1392">
        <w:rPr>
          <w:rFonts w:ascii="Verdana" w:eastAsia="Arial" w:hAnsi="Verdana"/>
          <w:sz w:val="18"/>
          <w:szCs w:val="18"/>
        </w:rPr>
        <w:t>automyčkách</w:t>
      </w:r>
      <w:proofErr w:type="spellEnd"/>
      <w:r w:rsidRPr="001A1392">
        <w:rPr>
          <w:rFonts w:ascii="Verdana" w:eastAsia="Arial" w:hAnsi="Verdana"/>
          <w:sz w:val="18"/>
          <w:szCs w:val="18"/>
        </w:rPr>
        <w:t>.</w:t>
      </w:r>
    </w:p>
    <w:p w14:paraId="4AD11904" w14:textId="77777777" w:rsidR="00925999" w:rsidRPr="001A1392" w:rsidRDefault="00000000">
      <w:pPr>
        <w:jc w:val="both"/>
        <w:rPr>
          <w:rFonts w:ascii="Verdana" w:eastAsia="Arial" w:hAnsi="Verdana"/>
          <w:sz w:val="18"/>
          <w:szCs w:val="18"/>
        </w:rPr>
      </w:pPr>
      <w:r w:rsidRPr="001A1392">
        <w:rPr>
          <w:rFonts w:ascii="Verdana" w:eastAsia="Arial" w:hAnsi="Verdana"/>
          <w:sz w:val="18"/>
          <w:szCs w:val="18"/>
        </w:rPr>
        <w:t>Vedle environmentálních témat klademe důraz na sociální odpovědnost a kvalitní pracovní prostředí. Podporujeme odborný rozvoj zaměstnanců, bezpečnost práce, rovné příležitosti a otevřenou firemní kulturu založenou na respektu, spolupráci a odpovědnosti. Dlouhodobým cílem je být spolehlivým zaměstnavatelem, obchodním partnerem i odpovědným členem regionů, ve kterých působíme.</w:t>
      </w:r>
    </w:p>
    <w:p w14:paraId="52B97A34" w14:textId="77777777" w:rsidR="00925999" w:rsidRPr="001A1392" w:rsidRDefault="00000000">
      <w:pPr>
        <w:jc w:val="both"/>
        <w:rPr>
          <w:rFonts w:ascii="Verdana" w:eastAsia="Arial" w:hAnsi="Verdana"/>
          <w:sz w:val="18"/>
          <w:szCs w:val="18"/>
        </w:rPr>
      </w:pPr>
      <w:r w:rsidRPr="001A1392">
        <w:rPr>
          <w:rFonts w:ascii="Verdana" w:eastAsia="Arial" w:hAnsi="Verdana"/>
          <w:sz w:val="18"/>
          <w:szCs w:val="18"/>
        </w:rPr>
        <w:t>Důvěra zákazníků, stabilní obchodní vztahy a vysoká úroveň poskytovaných služeb jsou základními pilíři dalšího rozvoje společnosti Hoffmann a Žižák, spol. s r.o. Propojením dlouholetých zkušeností, odborného know-how, moderních technologií a odpovědného přístupu k podnikání chceme i nadále reagovat na očekávání zákazníků a partnerů v době rychlé proměny automobilové mobility.</w:t>
      </w:r>
    </w:p>
    <w:p w14:paraId="30920F3C" w14:textId="77777777" w:rsidR="00925999" w:rsidRPr="001A1392" w:rsidRDefault="00925999">
      <w:pPr>
        <w:jc w:val="both"/>
        <w:rPr>
          <w:rFonts w:ascii="Verdana" w:eastAsia="Arial" w:hAnsi="Verdana"/>
          <w:sz w:val="18"/>
          <w:szCs w:val="18"/>
        </w:rPr>
      </w:pPr>
    </w:p>
    <w:p w14:paraId="6E5F2B50" w14:textId="77777777" w:rsidR="00E509F8" w:rsidRPr="001A1392" w:rsidRDefault="00000000">
      <w:pPr>
        <w:pStyle w:val="Nadpis2"/>
        <w:rPr>
          <w:rFonts w:ascii="Verdana" w:hAnsi="Verdana"/>
          <w:sz w:val="20"/>
          <w:szCs w:val="20"/>
        </w:rPr>
      </w:pPr>
      <w:r w:rsidRPr="001A1392">
        <w:rPr>
          <w:rFonts w:ascii="Verdana" w:hAnsi="Verdana"/>
          <w:sz w:val="20"/>
          <w:szCs w:val="20"/>
        </w:rPr>
        <w:t>1.5. B1 – Základ pro přípravu zprávy</w:t>
      </w:r>
    </w:p>
    <w:p w14:paraId="6EFAF44B" w14:textId="77777777" w:rsidR="001A1392" w:rsidRPr="001A1392" w:rsidRDefault="00000000" w:rsidP="001A1392">
      <w:pPr>
        <w:pBdr>
          <w:top w:val="nil"/>
          <w:left w:val="nil"/>
          <w:bottom w:val="nil"/>
          <w:right w:val="nil"/>
          <w:between w:val="nil"/>
        </w:pBdr>
        <w:spacing w:before="240" w:after="240"/>
        <w:jc w:val="both"/>
        <w:rPr>
          <w:rFonts w:ascii="Verdana" w:eastAsia="Arial" w:hAnsi="Verdana"/>
          <w:sz w:val="18"/>
          <w:szCs w:val="18"/>
        </w:rPr>
      </w:pPr>
      <w:r w:rsidRPr="001A1392">
        <w:rPr>
          <w:rFonts w:ascii="Verdana" w:hAnsi="Verdana"/>
          <w:sz w:val="18"/>
          <w:szCs w:val="18"/>
        </w:rPr>
        <w:t>Tato zpráva je sestavena za společnost Hoffmann &amp; Žižák, spol. s r.o. na individuálním základě a vztahuje se k období od 1. 1. 2025 do 31. 12. 2025. Pro účely vykazování společnost využívá základní modul VSME a relevantní informace komplexního modulu.</w:t>
      </w:r>
      <w:r w:rsidR="001A1392">
        <w:rPr>
          <w:rFonts w:ascii="Verdana" w:hAnsi="Verdana"/>
          <w:sz w:val="18"/>
          <w:szCs w:val="18"/>
        </w:rPr>
        <w:t xml:space="preserve"> </w:t>
      </w:r>
      <w:r w:rsidR="001A1392" w:rsidRPr="001A1392">
        <w:rPr>
          <w:rFonts w:ascii="Verdana" w:eastAsia="Arial" w:hAnsi="Verdana"/>
          <w:sz w:val="18"/>
          <w:szCs w:val="18"/>
        </w:rPr>
        <w:t>Při vykazování uplatňujeme princip „pokud je relevantní“, podle kterého uvádíme informace odpovídající charakteru a kontextu naší činnosti. Tento přístup podporuje přiměřené, srozumitelné a prakticky využitelné vykazování.</w:t>
      </w:r>
    </w:p>
    <w:p w14:paraId="36171407" w14:textId="4B0125A5" w:rsidR="00E509F8" w:rsidRPr="001A1392" w:rsidRDefault="001A1392" w:rsidP="001A1392">
      <w:pPr>
        <w:pBdr>
          <w:top w:val="nil"/>
          <w:left w:val="nil"/>
          <w:bottom w:val="nil"/>
          <w:right w:val="nil"/>
          <w:between w:val="nil"/>
        </w:pBdr>
        <w:spacing w:before="240" w:after="240"/>
        <w:jc w:val="both"/>
        <w:rPr>
          <w:rFonts w:ascii="Verdana" w:eastAsia="Arial" w:hAnsi="Verdana"/>
          <w:sz w:val="18"/>
          <w:szCs w:val="18"/>
        </w:rPr>
      </w:pPr>
      <w:r w:rsidRPr="001A1392">
        <w:rPr>
          <w:rFonts w:ascii="Verdana" w:eastAsia="Arial" w:hAnsi="Verdana"/>
          <w:sz w:val="18"/>
          <w:szCs w:val="18"/>
        </w:rPr>
        <w:t>Zpráva vychází ze základního modulu B1–B11 a komplexního modulu C1–C9 určených pro malé a střední podniky. Informace jsou strukturovány s důrazem na jejich relevanci, věrnost, srovnatelnost, srozumitelnost a ověřitelnost</w:t>
      </w:r>
      <w:r w:rsidRPr="001A1392">
        <w:rPr>
          <w:rFonts w:ascii="Verdana" w:hAnsi="Verdana"/>
          <w:sz w:val="18"/>
          <w:szCs w:val="18"/>
        </w:rPr>
        <w:t>.</w:t>
      </w:r>
    </w:p>
    <w:p w14:paraId="2E682A89" w14:textId="77777777" w:rsidR="00E509F8" w:rsidRPr="001A1392" w:rsidRDefault="00000000">
      <w:pPr>
        <w:pStyle w:val="Nadpis2"/>
        <w:rPr>
          <w:rFonts w:ascii="Verdana" w:hAnsi="Verdana"/>
          <w:sz w:val="20"/>
          <w:szCs w:val="20"/>
        </w:rPr>
      </w:pPr>
      <w:r w:rsidRPr="001A1392">
        <w:rPr>
          <w:rFonts w:ascii="Verdana" w:hAnsi="Verdana"/>
          <w:sz w:val="20"/>
          <w:szCs w:val="20"/>
        </w:rPr>
        <w:t>1.6. B2 – Postupy, politiky a budoucí iniciativy v oblasti udržitelnosti</w:t>
      </w:r>
    </w:p>
    <w:p w14:paraId="6D348303" w14:textId="77777777" w:rsidR="00E509F8" w:rsidRPr="001A1392" w:rsidRDefault="00000000" w:rsidP="001A1392">
      <w:pPr>
        <w:jc w:val="both"/>
        <w:rPr>
          <w:rFonts w:ascii="Verdana" w:hAnsi="Verdana"/>
          <w:sz w:val="18"/>
          <w:szCs w:val="18"/>
        </w:rPr>
      </w:pPr>
      <w:r w:rsidRPr="001A1392">
        <w:rPr>
          <w:rFonts w:ascii="Verdana" w:hAnsi="Verdana"/>
          <w:sz w:val="18"/>
          <w:szCs w:val="18"/>
        </w:rPr>
        <w:t xml:space="preserve">Společnost rozvíjí udržitelnost prostřednictvím konkrétních provozních, environmentálních, sociálních a etických opatření. Patří mezi ně výpočet uhlíkové stopy Scope 1 a 2, sledování a optimalizace </w:t>
      </w:r>
      <w:r w:rsidRPr="001A1392">
        <w:rPr>
          <w:rFonts w:ascii="Verdana" w:hAnsi="Verdana"/>
          <w:sz w:val="18"/>
          <w:szCs w:val="18"/>
        </w:rPr>
        <w:lastRenderedPageBreak/>
        <w:t>spotřeby energií, příprava fotovoltaických elektráren, rozvoj infrastruktury pro elektromobilitu, recyklace vody v myčkách, třídění a odpovědné nakládání s odpady, péče o zeleň v okolí provozoven, rozvoj zaměstnanců, BOZP, rovné odměňování, Etický kodex a Etická linka pro oznamování podnětů. Budoucí iniciativy jsou dále popsány v kapitole 6.</w:t>
      </w:r>
    </w:p>
    <w:p w14:paraId="6CCE9C53" w14:textId="51C628D6" w:rsidR="00925999" w:rsidRPr="001A1392" w:rsidRDefault="00000000" w:rsidP="001A1392">
      <w:pPr>
        <w:pStyle w:val="Odstavecseseznamem"/>
        <w:numPr>
          <w:ilvl w:val="0"/>
          <w:numId w:val="3"/>
        </w:numPr>
        <w:jc w:val="both"/>
        <w:rPr>
          <w:rFonts w:ascii="Verdana" w:eastAsia="Arial" w:hAnsi="Verdana"/>
          <w:b/>
          <w:bCs/>
          <w:sz w:val="18"/>
          <w:szCs w:val="18"/>
        </w:rPr>
      </w:pPr>
      <w:r w:rsidRPr="001A1392">
        <w:rPr>
          <w:rFonts w:ascii="Verdana" w:eastAsia="Arial" w:hAnsi="Verdana"/>
          <w:b/>
          <w:bCs/>
          <w:sz w:val="18"/>
          <w:szCs w:val="18"/>
        </w:rPr>
        <w:t>Řízení rizik a příležitostí</w:t>
      </w:r>
    </w:p>
    <w:p w14:paraId="4D5016A9" w14:textId="77777777" w:rsidR="00925999" w:rsidRPr="001A1392" w:rsidRDefault="00000000">
      <w:pPr>
        <w:pBdr>
          <w:top w:val="nil"/>
          <w:left w:val="nil"/>
          <w:bottom w:val="nil"/>
          <w:right w:val="nil"/>
          <w:between w:val="nil"/>
        </w:pBdr>
        <w:jc w:val="both"/>
        <w:rPr>
          <w:rFonts w:ascii="Verdana" w:eastAsia="Arial" w:hAnsi="Verdana"/>
          <w:sz w:val="18"/>
          <w:szCs w:val="18"/>
        </w:rPr>
      </w:pPr>
      <w:r w:rsidRPr="001A1392">
        <w:rPr>
          <w:rFonts w:ascii="Verdana" w:hAnsi="Verdana"/>
          <w:sz w:val="18"/>
          <w:szCs w:val="18"/>
        </w:rPr>
        <w:t>Ve společnosti Hoffmann &amp; Žižák, spol. s r.o. systematicky identifikujeme a vyhodnocujeme rizika, která mohou ovlivnit naši činnost. Cílem je včas rozpoznávat potenciální hrozby s dopadem na ekonomickou výkonnost, zaměstnance, produkty nebo zákazníky a současně identifikovat příležitosti pro další rozvoj.</w:t>
      </w:r>
    </w:p>
    <w:p w14:paraId="14824191" w14:textId="77777777" w:rsidR="00925999" w:rsidRPr="001A1392" w:rsidRDefault="00000000">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Při řízení rizik vycházíme z analýzy rizik, kterou dlouhodobě uplatňujeme v rámci systému managementu kvality podle ISO. Tento přístup nám umožňuje rizika pravidelně vyhodnocovat a přijímat odpovídající opatření.</w:t>
      </w:r>
    </w:p>
    <w:p w14:paraId="641A07ED" w14:textId="77777777" w:rsidR="00925999" w:rsidRPr="001A1392" w:rsidRDefault="00000000">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Při posuzování témat udržitelnosti zohledňujeme princip dvojí materiality: sledujeme, jak mohou otázky udržitelnosti ovlivňovat naši společnost, a současně vyhodnocujeme, jak naše činnost působí na životní prostředí a společnost. Podkladem pro tuto zprávu byla analýza zpracovaná právě pro tento účel.</w:t>
      </w:r>
    </w:p>
    <w:p w14:paraId="55AF0E66" w14:textId="77777777" w:rsidR="00925999" w:rsidRDefault="00000000">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Pravidelně hodnotíme rizika související mimo jiné se změnou klimatu, dostupností zdrojů a sociálními tématy a současně hledáme příležitosti ke zvýšení odolnosti a odpovědnosti společnosti. Při reportování uplatňujeme princip „pokud je relevantní“ v souladu s VSME. Jako relevantní jsme vyhodnotili všechny oblasti s výjimkou B4 Znečištění vzduchu, vody a půdy, B5 Biodiverzita a C3 Cíle snižování emisí GHG a klimatická transformace.</w:t>
      </w:r>
    </w:p>
    <w:p w14:paraId="64FC65C1" w14:textId="77777777" w:rsidR="001A1392" w:rsidRPr="001A1392" w:rsidRDefault="001A1392">
      <w:pPr>
        <w:pBdr>
          <w:top w:val="nil"/>
          <w:left w:val="nil"/>
          <w:bottom w:val="nil"/>
          <w:right w:val="nil"/>
          <w:between w:val="nil"/>
        </w:pBdr>
        <w:jc w:val="both"/>
        <w:rPr>
          <w:rFonts w:ascii="Verdana" w:eastAsia="Arial" w:hAnsi="Verdana"/>
          <w:sz w:val="18"/>
          <w:szCs w:val="18"/>
        </w:rPr>
      </w:pPr>
    </w:p>
    <w:p w14:paraId="37C85032" w14:textId="77777777" w:rsidR="00925999" w:rsidRPr="001A1392" w:rsidRDefault="00000000" w:rsidP="001A1392">
      <w:pPr>
        <w:numPr>
          <w:ilvl w:val="2"/>
          <w:numId w:val="3"/>
        </w:numPr>
        <w:jc w:val="both"/>
        <w:rPr>
          <w:rFonts w:ascii="Verdana" w:eastAsia="Arial" w:hAnsi="Verdana"/>
          <w:b/>
          <w:bCs/>
          <w:sz w:val="18"/>
          <w:szCs w:val="18"/>
        </w:rPr>
      </w:pPr>
      <w:r w:rsidRPr="001A1392">
        <w:rPr>
          <w:rFonts w:ascii="Verdana" w:eastAsia="Arial" w:hAnsi="Verdana"/>
          <w:b/>
          <w:bCs/>
          <w:sz w:val="18"/>
          <w:szCs w:val="18"/>
        </w:rPr>
        <w:t>Metriky a cíle</w:t>
      </w:r>
    </w:p>
    <w:p w14:paraId="1AB972A5" w14:textId="77777777" w:rsidR="00925999" w:rsidRPr="001A1392" w:rsidRDefault="00000000">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Pro oblast udržitelnosti jsme stanovili konkrétní metriky, jejichž vývoj pravidelně sledujeme a každoročně vyhodnocujeme na úrovni vedení společnosti. Metriky vycházejí z požadavků standardu VSME a jsou uvedeny v Příloze č. 1.</w:t>
      </w:r>
    </w:p>
    <w:p w14:paraId="576FEDAB" w14:textId="77777777" w:rsidR="00925999" w:rsidRPr="001A1392" w:rsidRDefault="00000000" w:rsidP="001A1392">
      <w:pPr>
        <w:numPr>
          <w:ilvl w:val="0"/>
          <w:numId w:val="3"/>
        </w:numPr>
        <w:pBdr>
          <w:top w:val="nil"/>
          <w:left w:val="nil"/>
          <w:bottom w:val="nil"/>
          <w:right w:val="nil"/>
          <w:between w:val="nil"/>
        </w:pBdr>
        <w:spacing w:after="0"/>
        <w:jc w:val="both"/>
        <w:rPr>
          <w:rFonts w:ascii="Verdana" w:eastAsia="Arial" w:hAnsi="Verdana"/>
          <w:b/>
          <w:bCs/>
          <w:color w:val="000000"/>
          <w:sz w:val="20"/>
          <w:szCs w:val="20"/>
        </w:rPr>
      </w:pPr>
      <w:r w:rsidRPr="001A1392">
        <w:rPr>
          <w:rFonts w:ascii="Verdana" w:eastAsia="Arial" w:hAnsi="Verdana"/>
          <w:b/>
          <w:bCs/>
          <w:color w:val="000000"/>
          <w:sz w:val="20"/>
          <w:szCs w:val="20"/>
        </w:rPr>
        <w:t>Environmentální standardy</w:t>
      </w:r>
    </w:p>
    <w:p w14:paraId="7BFDAF21" w14:textId="77777777" w:rsidR="00925999" w:rsidRPr="001A1392" w:rsidRDefault="00925999">
      <w:pPr>
        <w:pBdr>
          <w:top w:val="nil"/>
          <w:left w:val="nil"/>
          <w:bottom w:val="nil"/>
          <w:right w:val="nil"/>
          <w:between w:val="nil"/>
        </w:pBdr>
        <w:spacing w:after="0"/>
        <w:ind w:left="360"/>
        <w:jc w:val="both"/>
        <w:rPr>
          <w:rFonts w:ascii="Verdana" w:eastAsia="Arial" w:hAnsi="Verdana"/>
          <w:b/>
          <w:bCs/>
          <w:color w:val="000000"/>
          <w:sz w:val="18"/>
          <w:szCs w:val="18"/>
        </w:rPr>
      </w:pPr>
    </w:p>
    <w:p w14:paraId="4E348869" w14:textId="77777777" w:rsidR="00925999" w:rsidRPr="001A1392" w:rsidRDefault="00000000" w:rsidP="001A1392">
      <w:pPr>
        <w:numPr>
          <w:ilvl w:val="1"/>
          <w:numId w:val="3"/>
        </w:numPr>
        <w:pBdr>
          <w:top w:val="nil"/>
          <w:left w:val="nil"/>
          <w:bottom w:val="nil"/>
          <w:right w:val="nil"/>
          <w:between w:val="nil"/>
        </w:pBdr>
        <w:jc w:val="both"/>
        <w:rPr>
          <w:rFonts w:ascii="Verdana" w:eastAsia="Arial" w:hAnsi="Verdana"/>
          <w:b/>
          <w:bCs/>
          <w:color w:val="000000"/>
          <w:sz w:val="18"/>
          <w:szCs w:val="18"/>
        </w:rPr>
      </w:pPr>
      <w:r w:rsidRPr="001A1392">
        <w:rPr>
          <w:rFonts w:ascii="Verdana" w:eastAsia="Arial" w:hAnsi="Verdana"/>
          <w:b/>
          <w:bCs/>
          <w:sz w:val="18"/>
          <w:szCs w:val="18"/>
        </w:rPr>
        <w:t>B3 – Spotřeba energie a emise skleníkových plynů (</w:t>
      </w:r>
      <w:proofErr w:type="spellStart"/>
      <w:r w:rsidRPr="001A1392">
        <w:rPr>
          <w:rFonts w:ascii="Verdana" w:eastAsia="Arial" w:hAnsi="Verdana"/>
          <w:b/>
          <w:bCs/>
          <w:sz w:val="18"/>
          <w:szCs w:val="18"/>
        </w:rPr>
        <w:t>Scope</w:t>
      </w:r>
      <w:proofErr w:type="spellEnd"/>
      <w:r w:rsidRPr="001A1392">
        <w:rPr>
          <w:rFonts w:ascii="Verdana" w:eastAsia="Arial" w:hAnsi="Verdana"/>
          <w:b/>
          <w:bCs/>
          <w:sz w:val="18"/>
          <w:szCs w:val="18"/>
        </w:rPr>
        <w:t xml:space="preserve"> 1 a 2)</w:t>
      </w:r>
    </w:p>
    <w:p w14:paraId="506214E9" w14:textId="6C08D4CB" w:rsidR="00925999" w:rsidRPr="001A1392" w:rsidRDefault="00000000">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 xml:space="preserve">Naším cílem je postupně snižovat emise skleníkových plynů a uhlíkovou stopu v oblastech, které můžeme přímo ovlivnit, zejména ve Scope 1 a Scope 2. Zaměřujeme se proto na úspory energie, efektivní vytápění a chlazení budov a optimalizaci provozních procesů. </w:t>
      </w:r>
    </w:p>
    <w:p w14:paraId="08BC4765" w14:textId="77777777" w:rsidR="001A1392" w:rsidRPr="001A1392" w:rsidRDefault="001A1392" w:rsidP="001A1392">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 xml:space="preserve">V roce 2025 jsme poprvé stanovili uhlíkovou stopu společnosti za celý kalendářní rok v rozsahu emisí </w:t>
      </w:r>
      <w:proofErr w:type="spellStart"/>
      <w:r w:rsidRPr="001A1392">
        <w:rPr>
          <w:rFonts w:ascii="Verdana" w:eastAsia="Arial" w:hAnsi="Verdana"/>
          <w:sz w:val="18"/>
          <w:szCs w:val="18"/>
        </w:rPr>
        <w:t>Scope</w:t>
      </w:r>
      <w:proofErr w:type="spellEnd"/>
      <w:r w:rsidRPr="001A1392">
        <w:rPr>
          <w:rFonts w:ascii="Verdana" w:eastAsia="Arial" w:hAnsi="Verdana"/>
          <w:sz w:val="18"/>
          <w:szCs w:val="18"/>
        </w:rPr>
        <w:t xml:space="preserve"> 1 a </w:t>
      </w:r>
      <w:proofErr w:type="spellStart"/>
      <w:r w:rsidRPr="001A1392">
        <w:rPr>
          <w:rFonts w:ascii="Verdana" w:eastAsia="Arial" w:hAnsi="Verdana"/>
          <w:sz w:val="18"/>
          <w:szCs w:val="18"/>
        </w:rPr>
        <w:t>Scope</w:t>
      </w:r>
      <w:proofErr w:type="spellEnd"/>
      <w:r w:rsidRPr="001A1392">
        <w:rPr>
          <w:rFonts w:ascii="Verdana" w:eastAsia="Arial" w:hAnsi="Verdana"/>
          <w:sz w:val="18"/>
          <w:szCs w:val="18"/>
        </w:rPr>
        <w:t xml:space="preserve"> 2. Výpočet byl proveden v souladu s metodikou GHG </w:t>
      </w:r>
      <w:proofErr w:type="spellStart"/>
      <w:r w:rsidRPr="001A1392">
        <w:rPr>
          <w:rFonts w:ascii="Verdana" w:eastAsia="Arial" w:hAnsi="Verdana"/>
          <w:sz w:val="18"/>
          <w:szCs w:val="18"/>
        </w:rPr>
        <w:t>Protocol</w:t>
      </w:r>
      <w:proofErr w:type="spellEnd"/>
      <w:r w:rsidRPr="001A1392">
        <w:rPr>
          <w:rFonts w:ascii="Verdana" w:eastAsia="Arial" w:hAnsi="Verdana"/>
          <w:sz w:val="18"/>
          <w:szCs w:val="18"/>
        </w:rPr>
        <w:t xml:space="preserve"> a rok 2025 představuje výchozí rok pro další sledování vývoje emisí skleníkových plynů a vyhodnocování účinnosti přijímaných opatření.</w:t>
      </w:r>
    </w:p>
    <w:p w14:paraId="3A0B9C13" w14:textId="77777777" w:rsidR="001A1392" w:rsidRPr="001A1392" w:rsidRDefault="001A1392" w:rsidP="001A1392">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 xml:space="preserve">Při stanovení organizačních hranic výpočtu jsme použili přístup </w:t>
      </w:r>
      <w:proofErr w:type="spellStart"/>
      <w:r w:rsidRPr="001A1392">
        <w:rPr>
          <w:rFonts w:ascii="Verdana" w:eastAsia="Arial" w:hAnsi="Verdana"/>
          <w:sz w:val="18"/>
          <w:szCs w:val="18"/>
        </w:rPr>
        <w:t>operational</w:t>
      </w:r>
      <w:proofErr w:type="spellEnd"/>
      <w:r w:rsidRPr="001A1392">
        <w:rPr>
          <w:rFonts w:ascii="Verdana" w:eastAsia="Arial" w:hAnsi="Verdana"/>
          <w:sz w:val="18"/>
          <w:szCs w:val="18"/>
        </w:rPr>
        <w:t xml:space="preserve"> </w:t>
      </w:r>
      <w:proofErr w:type="spellStart"/>
      <w:r w:rsidRPr="001A1392">
        <w:rPr>
          <w:rFonts w:ascii="Verdana" w:eastAsia="Arial" w:hAnsi="Verdana"/>
          <w:sz w:val="18"/>
          <w:szCs w:val="18"/>
        </w:rPr>
        <w:t>control</w:t>
      </w:r>
      <w:proofErr w:type="spellEnd"/>
      <w:r w:rsidRPr="001A1392">
        <w:rPr>
          <w:rFonts w:ascii="Verdana" w:eastAsia="Arial" w:hAnsi="Verdana"/>
          <w:sz w:val="18"/>
          <w:szCs w:val="18"/>
        </w:rPr>
        <w:t xml:space="preserve"> (provozní kontrola). Do výpočtu jsou proto zahrnuty emise ze zdrojů a provozů, nad nimiž má společnost provozní kontrolu. Výpočet zahrnuje obě provozovny společnosti – Zápy, č.p. 255, 250 61 Zápy, a Obilná 520, 463 12 Liberec – a dále spotřebu energie a pohonných hmot související s provozem společnosti a firemního vozového parku.</w:t>
      </w:r>
    </w:p>
    <w:p w14:paraId="6A6F4916" w14:textId="77777777" w:rsidR="001A1392" w:rsidRPr="001A1392" w:rsidRDefault="001A1392" w:rsidP="001A1392">
      <w:pPr>
        <w:pBdr>
          <w:top w:val="nil"/>
          <w:left w:val="nil"/>
          <w:bottom w:val="nil"/>
          <w:right w:val="nil"/>
          <w:between w:val="nil"/>
        </w:pBdr>
        <w:jc w:val="both"/>
        <w:rPr>
          <w:rFonts w:ascii="Verdana" w:eastAsia="Arial" w:hAnsi="Verdana"/>
          <w:b/>
          <w:bCs/>
          <w:sz w:val="18"/>
          <w:szCs w:val="18"/>
        </w:rPr>
      </w:pPr>
      <w:proofErr w:type="spellStart"/>
      <w:r w:rsidRPr="001A1392">
        <w:rPr>
          <w:rFonts w:ascii="Verdana" w:eastAsia="Arial" w:hAnsi="Verdana"/>
          <w:b/>
          <w:bCs/>
          <w:sz w:val="18"/>
          <w:szCs w:val="18"/>
        </w:rPr>
        <w:t>Scope</w:t>
      </w:r>
      <w:proofErr w:type="spellEnd"/>
      <w:r w:rsidRPr="001A1392">
        <w:rPr>
          <w:rFonts w:ascii="Verdana" w:eastAsia="Arial" w:hAnsi="Verdana"/>
          <w:b/>
          <w:bCs/>
          <w:sz w:val="18"/>
          <w:szCs w:val="18"/>
        </w:rPr>
        <w:t xml:space="preserve"> 1 – přímé emise</w:t>
      </w:r>
    </w:p>
    <w:p w14:paraId="4A53B612" w14:textId="77777777" w:rsidR="001A1392" w:rsidRPr="001A1392" w:rsidRDefault="001A1392" w:rsidP="001A1392">
      <w:pPr>
        <w:pBdr>
          <w:top w:val="nil"/>
          <w:left w:val="nil"/>
          <w:bottom w:val="nil"/>
          <w:right w:val="nil"/>
          <w:between w:val="nil"/>
        </w:pBdr>
        <w:jc w:val="both"/>
        <w:rPr>
          <w:rFonts w:ascii="Verdana" w:eastAsia="Arial" w:hAnsi="Verdana"/>
          <w:sz w:val="18"/>
          <w:szCs w:val="18"/>
        </w:rPr>
      </w:pPr>
      <w:proofErr w:type="spellStart"/>
      <w:r w:rsidRPr="001A1392">
        <w:rPr>
          <w:rFonts w:ascii="Verdana" w:eastAsia="Arial" w:hAnsi="Verdana"/>
          <w:sz w:val="18"/>
          <w:szCs w:val="18"/>
        </w:rPr>
        <w:t>Scope</w:t>
      </w:r>
      <w:proofErr w:type="spellEnd"/>
      <w:r w:rsidRPr="001A1392">
        <w:rPr>
          <w:rFonts w:ascii="Verdana" w:eastAsia="Arial" w:hAnsi="Verdana"/>
          <w:sz w:val="18"/>
          <w:szCs w:val="18"/>
        </w:rPr>
        <w:t xml:space="preserve"> 1 zahrnuje přímé emise ze zdrojů vlastněných nebo provozně kontrolovaných společností. V našem případě jde zejména o emise spojené se spotřebou pohonných hmot ve firemním vozovém parku a další přímé zdroje zahrnuté do organizačních hranic výpočtu.</w:t>
      </w:r>
    </w:p>
    <w:p w14:paraId="087CABA8" w14:textId="77777777" w:rsidR="001A1392" w:rsidRPr="001A1392" w:rsidRDefault="001A1392" w:rsidP="001A1392">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V roce 2025 činila celková spotřeba kapalných pohonných hmot 63 225 litrů, z toho:</w:t>
      </w:r>
    </w:p>
    <w:p w14:paraId="31D1FAB6" w14:textId="77777777" w:rsidR="001A1392" w:rsidRPr="001A1392" w:rsidRDefault="001A1392" w:rsidP="001A1392">
      <w:pPr>
        <w:pStyle w:val="Odstavecseseznamem"/>
        <w:numPr>
          <w:ilvl w:val="0"/>
          <w:numId w:val="8"/>
        </w:num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53 546 litrů nafty,</w:t>
      </w:r>
    </w:p>
    <w:p w14:paraId="5F8BF82C" w14:textId="77777777" w:rsidR="001A1392" w:rsidRPr="001A1392" w:rsidRDefault="001A1392" w:rsidP="001A1392">
      <w:pPr>
        <w:pStyle w:val="Odstavecseseznamem"/>
        <w:numPr>
          <w:ilvl w:val="0"/>
          <w:numId w:val="8"/>
        </w:num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9 679 litrů benzínu.</w:t>
      </w:r>
    </w:p>
    <w:p w14:paraId="17BCAAF2" w14:textId="77777777" w:rsidR="001A1392" w:rsidRPr="001A1392" w:rsidRDefault="001A1392" w:rsidP="001A1392">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lastRenderedPageBreak/>
        <w:t>Nafta tak představovala přibližně 85 % celkového objemu spotřebovaných kapalných pohonných hmot.</w:t>
      </w:r>
    </w:p>
    <w:p w14:paraId="3BF6BC2A" w14:textId="77777777" w:rsidR="001A1392" w:rsidRPr="001A1392" w:rsidRDefault="001A1392" w:rsidP="001A1392">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 xml:space="preserve">Do </w:t>
      </w:r>
      <w:proofErr w:type="spellStart"/>
      <w:r w:rsidRPr="001A1392">
        <w:rPr>
          <w:rFonts w:ascii="Verdana" w:eastAsia="Arial" w:hAnsi="Verdana"/>
          <w:sz w:val="18"/>
          <w:szCs w:val="18"/>
        </w:rPr>
        <w:t>Scope</w:t>
      </w:r>
      <w:proofErr w:type="spellEnd"/>
      <w:r w:rsidRPr="001A1392">
        <w:rPr>
          <w:rFonts w:ascii="Verdana" w:eastAsia="Arial" w:hAnsi="Verdana"/>
          <w:sz w:val="18"/>
          <w:szCs w:val="18"/>
        </w:rPr>
        <w:t xml:space="preserve"> 1 jsou zahrnuty také emise související s používáním technického CO</w:t>
      </w:r>
      <w:r w:rsidRPr="001A1392">
        <w:rPr>
          <w:rFonts w:ascii="Cambria Math" w:eastAsia="Arial" w:hAnsi="Cambria Math" w:cs="Cambria Math"/>
          <w:sz w:val="18"/>
          <w:szCs w:val="18"/>
        </w:rPr>
        <w:t>₂</w:t>
      </w:r>
      <w:r w:rsidRPr="001A1392">
        <w:rPr>
          <w:rFonts w:ascii="Verdana" w:eastAsia="Arial" w:hAnsi="Verdana"/>
          <w:sz w:val="18"/>
          <w:szCs w:val="18"/>
        </w:rPr>
        <w:t xml:space="preserve"> a podílu CO</w:t>
      </w:r>
      <w:r w:rsidRPr="001A1392">
        <w:rPr>
          <w:rFonts w:ascii="Cambria Math" w:eastAsia="Arial" w:hAnsi="Cambria Math" w:cs="Cambria Math"/>
          <w:sz w:val="18"/>
          <w:szCs w:val="18"/>
        </w:rPr>
        <w:t>₂</w:t>
      </w:r>
      <w:r w:rsidRPr="001A1392">
        <w:rPr>
          <w:rFonts w:ascii="Verdana" w:eastAsia="Arial" w:hAnsi="Verdana"/>
          <w:sz w:val="18"/>
          <w:szCs w:val="18"/>
        </w:rPr>
        <w:t xml:space="preserve"> v ochranné směsi </w:t>
      </w:r>
      <w:proofErr w:type="spellStart"/>
      <w:r w:rsidRPr="001A1392">
        <w:rPr>
          <w:rFonts w:ascii="Verdana" w:eastAsia="Arial" w:hAnsi="Verdana"/>
          <w:sz w:val="18"/>
          <w:szCs w:val="18"/>
        </w:rPr>
        <w:t>Corgon</w:t>
      </w:r>
      <w:proofErr w:type="spellEnd"/>
      <w:r w:rsidRPr="001A1392">
        <w:rPr>
          <w:rFonts w:ascii="Verdana" w:eastAsia="Arial" w:hAnsi="Verdana"/>
          <w:sz w:val="18"/>
          <w:szCs w:val="18"/>
        </w:rPr>
        <w:t xml:space="preserve"> evidované v provozovně Liberec. Při jejich použití dochází k </w:t>
      </w:r>
      <w:proofErr w:type="gramStart"/>
      <w:r w:rsidRPr="001A1392">
        <w:rPr>
          <w:rFonts w:ascii="Verdana" w:eastAsia="Arial" w:hAnsi="Verdana"/>
          <w:sz w:val="18"/>
          <w:szCs w:val="18"/>
        </w:rPr>
        <w:t>uvolnění</w:t>
      </w:r>
      <w:proofErr w:type="gramEnd"/>
      <w:r w:rsidRPr="001A1392">
        <w:rPr>
          <w:rFonts w:ascii="Verdana" w:eastAsia="Arial" w:hAnsi="Verdana"/>
          <w:sz w:val="18"/>
          <w:szCs w:val="18"/>
        </w:rPr>
        <w:t xml:space="preserve"> CO</w:t>
      </w:r>
      <w:r w:rsidRPr="001A1392">
        <w:rPr>
          <w:rFonts w:ascii="Cambria Math" w:eastAsia="Arial" w:hAnsi="Cambria Math" w:cs="Cambria Math"/>
          <w:sz w:val="18"/>
          <w:szCs w:val="18"/>
        </w:rPr>
        <w:t>₂</w:t>
      </w:r>
      <w:r w:rsidRPr="001A1392">
        <w:rPr>
          <w:rFonts w:ascii="Verdana" w:eastAsia="Arial" w:hAnsi="Verdana"/>
          <w:sz w:val="18"/>
          <w:szCs w:val="18"/>
        </w:rPr>
        <w:t xml:space="preserve">, které je zahrnuto mezi přímé emise </w:t>
      </w:r>
      <w:proofErr w:type="spellStart"/>
      <w:r w:rsidRPr="001A1392">
        <w:rPr>
          <w:rFonts w:ascii="Verdana" w:eastAsia="Arial" w:hAnsi="Verdana"/>
          <w:sz w:val="18"/>
          <w:szCs w:val="18"/>
        </w:rPr>
        <w:t>Scope</w:t>
      </w:r>
      <w:proofErr w:type="spellEnd"/>
      <w:r w:rsidRPr="001A1392">
        <w:rPr>
          <w:rFonts w:ascii="Verdana" w:eastAsia="Arial" w:hAnsi="Verdana"/>
          <w:sz w:val="18"/>
          <w:szCs w:val="18"/>
        </w:rPr>
        <w:t xml:space="preserve"> 1. Argon obsažený ve směsi </w:t>
      </w:r>
      <w:proofErr w:type="spellStart"/>
      <w:r w:rsidRPr="001A1392">
        <w:rPr>
          <w:rFonts w:ascii="Verdana" w:eastAsia="Arial" w:hAnsi="Verdana"/>
          <w:sz w:val="18"/>
          <w:szCs w:val="18"/>
        </w:rPr>
        <w:t>Corgon</w:t>
      </w:r>
      <w:proofErr w:type="spellEnd"/>
      <w:r w:rsidRPr="001A1392">
        <w:rPr>
          <w:rFonts w:ascii="Verdana" w:eastAsia="Arial" w:hAnsi="Verdana"/>
          <w:sz w:val="18"/>
          <w:szCs w:val="18"/>
        </w:rPr>
        <w:t xml:space="preserve"> není skleníkovým plynem a do emisní bilance </w:t>
      </w:r>
      <w:proofErr w:type="spellStart"/>
      <w:r w:rsidRPr="001A1392">
        <w:rPr>
          <w:rFonts w:ascii="Verdana" w:eastAsia="Arial" w:hAnsi="Verdana"/>
          <w:sz w:val="18"/>
          <w:szCs w:val="18"/>
        </w:rPr>
        <w:t>CO</w:t>
      </w:r>
      <w:r w:rsidRPr="001A1392">
        <w:rPr>
          <w:rFonts w:ascii="Cambria Math" w:eastAsia="Arial" w:hAnsi="Cambria Math" w:cs="Cambria Math"/>
          <w:sz w:val="18"/>
          <w:szCs w:val="18"/>
        </w:rPr>
        <w:t>₂</w:t>
      </w:r>
      <w:r w:rsidRPr="001A1392">
        <w:rPr>
          <w:rFonts w:ascii="Verdana" w:eastAsia="Arial" w:hAnsi="Verdana"/>
          <w:sz w:val="18"/>
          <w:szCs w:val="18"/>
        </w:rPr>
        <w:t>e</w:t>
      </w:r>
      <w:proofErr w:type="spellEnd"/>
      <w:r w:rsidRPr="001A1392">
        <w:rPr>
          <w:rFonts w:ascii="Verdana" w:eastAsia="Arial" w:hAnsi="Verdana"/>
          <w:sz w:val="18"/>
          <w:szCs w:val="18"/>
        </w:rPr>
        <w:t xml:space="preserve"> nevstupuje.</w:t>
      </w:r>
    </w:p>
    <w:p w14:paraId="039D5E38" w14:textId="77777777" w:rsidR="001A1392" w:rsidRPr="001A1392" w:rsidRDefault="001A1392" w:rsidP="001A1392">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 xml:space="preserve">Celkové emise </w:t>
      </w:r>
      <w:proofErr w:type="spellStart"/>
      <w:r w:rsidRPr="001A1392">
        <w:rPr>
          <w:rFonts w:ascii="Verdana" w:eastAsia="Arial" w:hAnsi="Verdana"/>
          <w:sz w:val="18"/>
          <w:szCs w:val="18"/>
        </w:rPr>
        <w:t>Scope</w:t>
      </w:r>
      <w:proofErr w:type="spellEnd"/>
      <w:r w:rsidRPr="001A1392">
        <w:rPr>
          <w:rFonts w:ascii="Verdana" w:eastAsia="Arial" w:hAnsi="Verdana"/>
          <w:sz w:val="18"/>
          <w:szCs w:val="18"/>
        </w:rPr>
        <w:t xml:space="preserve"> 1 za rok 2025 činily 157,7 t </w:t>
      </w:r>
      <w:proofErr w:type="spellStart"/>
      <w:r w:rsidRPr="001A1392">
        <w:rPr>
          <w:rFonts w:ascii="Verdana" w:eastAsia="Arial" w:hAnsi="Verdana"/>
          <w:sz w:val="18"/>
          <w:szCs w:val="18"/>
        </w:rPr>
        <w:t>CO</w:t>
      </w:r>
      <w:r w:rsidRPr="001A1392">
        <w:rPr>
          <w:rFonts w:ascii="Cambria Math" w:eastAsia="Arial" w:hAnsi="Cambria Math" w:cs="Cambria Math"/>
          <w:sz w:val="18"/>
          <w:szCs w:val="18"/>
        </w:rPr>
        <w:t>₂</w:t>
      </w:r>
      <w:r w:rsidRPr="001A1392">
        <w:rPr>
          <w:rFonts w:ascii="Verdana" w:eastAsia="Arial" w:hAnsi="Verdana"/>
          <w:sz w:val="18"/>
          <w:szCs w:val="18"/>
        </w:rPr>
        <w:t>e</w:t>
      </w:r>
      <w:proofErr w:type="spellEnd"/>
      <w:r w:rsidRPr="001A1392">
        <w:rPr>
          <w:rFonts w:ascii="Verdana" w:eastAsia="Arial" w:hAnsi="Verdana"/>
          <w:sz w:val="18"/>
          <w:szCs w:val="18"/>
        </w:rPr>
        <w:t>.</w:t>
      </w:r>
    </w:p>
    <w:p w14:paraId="47343E58" w14:textId="77777777" w:rsidR="001A1392" w:rsidRPr="001A1392" w:rsidRDefault="001A1392" w:rsidP="001A1392">
      <w:pPr>
        <w:pBdr>
          <w:top w:val="nil"/>
          <w:left w:val="nil"/>
          <w:bottom w:val="nil"/>
          <w:right w:val="nil"/>
          <w:between w:val="nil"/>
        </w:pBdr>
        <w:jc w:val="both"/>
        <w:rPr>
          <w:rFonts w:ascii="Verdana" w:eastAsia="Arial" w:hAnsi="Verdana"/>
          <w:b/>
          <w:bCs/>
          <w:sz w:val="18"/>
          <w:szCs w:val="18"/>
        </w:rPr>
      </w:pPr>
      <w:proofErr w:type="spellStart"/>
      <w:r w:rsidRPr="001A1392">
        <w:rPr>
          <w:rFonts w:ascii="Verdana" w:eastAsia="Arial" w:hAnsi="Verdana"/>
          <w:b/>
          <w:bCs/>
          <w:sz w:val="18"/>
          <w:szCs w:val="18"/>
        </w:rPr>
        <w:t>Scope</w:t>
      </w:r>
      <w:proofErr w:type="spellEnd"/>
      <w:r w:rsidRPr="001A1392">
        <w:rPr>
          <w:rFonts w:ascii="Verdana" w:eastAsia="Arial" w:hAnsi="Verdana"/>
          <w:b/>
          <w:bCs/>
          <w:sz w:val="18"/>
          <w:szCs w:val="18"/>
        </w:rPr>
        <w:t xml:space="preserve"> 2 – nepřímé emise z nakupované energie</w:t>
      </w:r>
    </w:p>
    <w:p w14:paraId="3A48920E" w14:textId="77777777" w:rsidR="001A1392" w:rsidRPr="001A1392" w:rsidRDefault="001A1392" w:rsidP="001A1392">
      <w:pPr>
        <w:pBdr>
          <w:top w:val="nil"/>
          <w:left w:val="nil"/>
          <w:bottom w:val="nil"/>
          <w:right w:val="nil"/>
          <w:between w:val="nil"/>
        </w:pBdr>
        <w:jc w:val="both"/>
        <w:rPr>
          <w:rFonts w:ascii="Verdana" w:eastAsia="Arial" w:hAnsi="Verdana"/>
          <w:sz w:val="18"/>
          <w:szCs w:val="18"/>
        </w:rPr>
      </w:pPr>
      <w:proofErr w:type="spellStart"/>
      <w:r w:rsidRPr="001A1392">
        <w:rPr>
          <w:rFonts w:ascii="Verdana" w:eastAsia="Arial" w:hAnsi="Verdana"/>
          <w:sz w:val="18"/>
          <w:szCs w:val="18"/>
        </w:rPr>
        <w:t>Scope</w:t>
      </w:r>
      <w:proofErr w:type="spellEnd"/>
      <w:r w:rsidRPr="001A1392">
        <w:rPr>
          <w:rFonts w:ascii="Verdana" w:eastAsia="Arial" w:hAnsi="Verdana"/>
          <w:sz w:val="18"/>
          <w:szCs w:val="18"/>
        </w:rPr>
        <w:t xml:space="preserve"> 2 zahrnuje nepřímé emise spojené s výrobou nakupované elektřiny spotřebované v provozovnách společnosti a elektřiny využívané pro dobíjení firemních elektromobilů.</w:t>
      </w:r>
    </w:p>
    <w:p w14:paraId="0D1805FF" w14:textId="77777777" w:rsidR="001A1392" w:rsidRPr="001A1392" w:rsidRDefault="001A1392" w:rsidP="001A1392">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Do výpočtu jsou zahrnuty zejména:</w:t>
      </w:r>
    </w:p>
    <w:p w14:paraId="6DAAB21E" w14:textId="77777777" w:rsidR="001A1392" w:rsidRPr="001A1392" w:rsidRDefault="001A1392" w:rsidP="001A1392">
      <w:pPr>
        <w:pStyle w:val="Odstavecseseznamem"/>
        <w:numPr>
          <w:ilvl w:val="0"/>
          <w:numId w:val="9"/>
        </w:num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elektřina spotřebovaná v provozovně Zápy,</w:t>
      </w:r>
    </w:p>
    <w:p w14:paraId="488028BA" w14:textId="77777777" w:rsidR="001A1392" w:rsidRPr="001A1392" w:rsidRDefault="001A1392" w:rsidP="001A1392">
      <w:pPr>
        <w:pStyle w:val="Odstavecseseznamem"/>
        <w:numPr>
          <w:ilvl w:val="0"/>
          <w:numId w:val="9"/>
        </w:num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elektřina spotřebovaná v provozovně Liberec,</w:t>
      </w:r>
    </w:p>
    <w:p w14:paraId="77A73CC3" w14:textId="77777777" w:rsidR="001A1392" w:rsidRPr="001A1392" w:rsidRDefault="001A1392" w:rsidP="001A1392">
      <w:pPr>
        <w:pStyle w:val="Odstavecseseznamem"/>
        <w:numPr>
          <w:ilvl w:val="0"/>
          <w:numId w:val="9"/>
        </w:num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elektřina odebraná při veřejném dobíjení firemní flotily.</w:t>
      </w:r>
    </w:p>
    <w:p w14:paraId="65D2F2D5" w14:textId="77777777" w:rsidR="001A1392" w:rsidRPr="001A1392" w:rsidRDefault="001A1392" w:rsidP="001A1392">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 xml:space="preserve">V souladu s metodikou GHG </w:t>
      </w:r>
      <w:proofErr w:type="spellStart"/>
      <w:r w:rsidRPr="001A1392">
        <w:rPr>
          <w:rFonts w:ascii="Verdana" w:eastAsia="Arial" w:hAnsi="Verdana"/>
          <w:sz w:val="18"/>
          <w:szCs w:val="18"/>
        </w:rPr>
        <w:t>Protocol</w:t>
      </w:r>
      <w:proofErr w:type="spellEnd"/>
      <w:r w:rsidRPr="001A1392">
        <w:rPr>
          <w:rFonts w:ascii="Verdana" w:eastAsia="Arial" w:hAnsi="Verdana"/>
          <w:sz w:val="18"/>
          <w:szCs w:val="18"/>
        </w:rPr>
        <w:t xml:space="preserve"> vykazujeme </w:t>
      </w:r>
      <w:proofErr w:type="spellStart"/>
      <w:r w:rsidRPr="001A1392">
        <w:rPr>
          <w:rFonts w:ascii="Verdana" w:eastAsia="Arial" w:hAnsi="Verdana"/>
          <w:sz w:val="18"/>
          <w:szCs w:val="18"/>
        </w:rPr>
        <w:t>Scope</w:t>
      </w:r>
      <w:proofErr w:type="spellEnd"/>
      <w:r w:rsidRPr="001A1392">
        <w:rPr>
          <w:rFonts w:ascii="Verdana" w:eastAsia="Arial" w:hAnsi="Verdana"/>
          <w:sz w:val="18"/>
          <w:szCs w:val="18"/>
        </w:rPr>
        <w:t xml:space="preserve"> 2 dvěma způsoby – metodou </w:t>
      </w:r>
      <w:proofErr w:type="spellStart"/>
      <w:r w:rsidRPr="001A1392">
        <w:rPr>
          <w:rFonts w:ascii="Verdana" w:eastAsia="Arial" w:hAnsi="Verdana"/>
          <w:sz w:val="18"/>
          <w:szCs w:val="18"/>
        </w:rPr>
        <w:t>location-based</w:t>
      </w:r>
      <w:proofErr w:type="spellEnd"/>
      <w:r w:rsidRPr="001A1392">
        <w:rPr>
          <w:rFonts w:ascii="Verdana" w:eastAsia="Arial" w:hAnsi="Verdana"/>
          <w:sz w:val="18"/>
          <w:szCs w:val="18"/>
        </w:rPr>
        <w:t xml:space="preserve"> a market-</w:t>
      </w:r>
      <w:proofErr w:type="spellStart"/>
      <w:r w:rsidRPr="001A1392">
        <w:rPr>
          <w:rFonts w:ascii="Verdana" w:eastAsia="Arial" w:hAnsi="Verdana"/>
          <w:sz w:val="18"/>
          <w:szCs w:val="18"/>
        </w:rPr>
        <w:t>based</w:t>
      </w:r>
      <w:proofErr w:type="spellEnd"/>
      <w:r w:rsidRPr="001A1392">
        <w:rPr>
          <w:rFonts w:ascii="Verdana" w:eastAsia="Arial" w:hAnsi="Verdana"/>
          <w:sz w:val="18"/>
          <w:szCs w:val="18"/>
        </w:rPr>
        <w:t>.</w:t>
      </w:r>
    </w:p>
    <w:p w14:paraId="68BAC818" w14:textId="77777777" w:rsidR="001A1392" w:rsidRPr="001A1392" w:rsidRDefault="001A1392" w:rsidP="001A1392">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 xml:space="preserve">Při metodě </w:t>
      </w:r>
      <w:proofErr w:type="spellStart"/>
      <w:r w:rsidRPr="001A1392">
        <w:rPr>
          <w:rFonts w:ascii="Verdana" w:eastAsia="Arial" w:hAnsi="Verdana"/>
          <w:sz w:val="18"/>
          <w:szCs w:val="18"/>
        </w:rPr>
        <w:t>location-based</w:t>
      </w:r>
      <w:proofErr w:type="spellEnd"/>
      <w:r w:rsidRPr="001A1392">
        <w:rPr>
          <w:rFonts w:ascii="Verdana" w:eastAsia="Arial" w:hAnsi="Verdana"/>
          <w:sz w:val="18"/>
          <w:szCs w:val="18"/>
        </w:rPr>
        <w:t xml:space="preserve"> je použit průměrný emisní faktor české elektrizační soustavy ve výši 330 kg CO</w:t>
      </w:r>
      <w:r w:rsidRPr="001A1392">
        <w:rPr>
          <w:rFonts w:ascii="Cambria Math" w:eastAsia="Arial" w:hAnsi="Cambria Math" w:cs="Cambria Math"/>
          <w:sz w:val="18"/>
          <w:szCs w:val="18"/>
        </w:rPr>
        <w:t>₂</w:t>
      </w:r>
      <w:r w:rsidRPr="001A1392">
        <w:rPr>
          <w:rFonts w:ascii="Verdana" w:eastAsia="Arial" w:hAnsi="Verdana"/>
          <w:sz w:val="18"/>
          <w:szCs w:val="18"/>
        </w:rPr>
        <w:t>/</w:t>
      </w:r>
      <w:proofErr w:type="spellStart"/>
      <w:r w:rsidRPr="001A1392">
        <w:rPr>
          <w:rFonts w:ascii="Verdana" w:eastAsia="Arial" w:hAnsi="Verdana"/>
          <w:sz w:val="18"/>
          <w:szCs w:val="18"/>
        </w:rPr>
        <w:t>MWh</w:t>
      </w:r>
      <w:proofErr w:type="spellEnd"/>
      <w:r w:rsidRPr="001A1392">
        <w:rPr>
          <w:rFonts w:ascii="Verdana" w:eastAsia="Arial" w:hAnsi="Verdana"/>
          <w:sz w:val="18"/>
          <w:szCs w:val="18"/>
        </w:rPr>
        <w:t xml:space="preserve">. Takto stanovené emise </w:t>
      </w:r>
      <w:proofErr w:type="spellStart"/>
      <w:r w:rsidRPr="001A1392">
        <w:rPr>
          <w:rFonts w:ascii="Verdana" w:eastAsia="Arial" w:hAnsi="Verdana"/>
          <w:sz w:val="18"/>
          <w:szCs w:val="18"/>
        </w:rPr>
        <w:t>Scope</w:t>
      </w:r>
      <w:proofErr w:type="spellEnd"/>
      <w:r w:rsidRPr="001A1392">
        <w:rPr>
          <w:rFonts w:ascii="Verdana" w:eastAsia="Arial" w:hAnsi="Verdana"/>
          <w:sz w:val="18"/>
          <w:szCs w:val="18"/>
        </w:rPr>
        <w:t xml:space="preserve"> 2 za rok 2025 činily 333,2 t </w:t>
      </w:r>
      <w:proofErr w:type="spellStart"/>
      <w:r w:rsidRPr="001A1392">
        <w:rPr>
          <w:rFonts w:ascii="Verdana" w:eastAsia="Arial" w:hAnsi="Verdana"/>
          <w:sz w:val="18"/>
          <w:szCs w:val="18"/>
        </w:rPr>
        <w:t>CO</w:t>
      </w:r>
      <w:r w:rsidRPr="001A1392">
        <w:rPr>
          <w:rFonts w:ascii="Cambria Math" w:eastAsia="Arial" w:hAnsi="Cambria Math" w:cs="Cambria Math"/>
          <w:sz w:val="18"/>
          <w:szCs w:val="18"/>
        </w:rPr>
        <w:t>₂</w:t>
      </w:r>
      <w:r w:rsidRPr="001A1392">
        <w:rPr>
          <w:rFonts w:ascii="Verdana" w:eastAsia="Arial" w:hAnsi="Verdana"/>
          <w:sz w:val="18"/>
          <w:szCs w:val="18"/>
        </w:rPr>
        <w:t>e</w:t>
      </w:r>
      <w:proofErr w:type="spellEnd"/>
      <w:r w:rsidRPr="001A1392">
        <w:rPr>
          <w:rFonts w:ascii="Verdana" w:eastAsia="Arial" w:hAnsi="Verdana"/>
          <w:sz w:val="18"/>
          <w:szCs w:val="18"/>
        </w:rPr>
        <w:t>.</w:t>
      </w:r>
    </w:p>
    <w:p w14:paraId="609B1E14" w14:textId="77777777" w:rsidR="001A1392" w:rsidRPr="001A1392" w:rsidRDefault="001A1392" w:rsidP="001A1392">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Metoda market-</w:t>
      </w:r>
      <w:proofErr w:type="spellStart"/>
      <w:r w:rsidRPr="001A1392">
        <w:rPr>
          <w:rFonts w:ascii="Verdana" w:eastAsia="Arial" w:hAnsi="Verdana"/>
          <w:sz w:val="18"/>
          <w:szCs w:val="18"/>
        </w:rPr>
        <w:t>based</w:t>
      </w:r>
      <w:proofErr w:type="spellEnd"/>
      <w:r w:rsidRPr="001A1392">
        <w:rPr>
          <w:rFonts w:ascii="Verdana" w:eastAsia="Arial" w:hAnsi="Verdana"/>
          <w:sz w:val="18"/>
          <w:szCs w:val="18"/>
        </w:rPr>
        <w:t xml:space="preserve"> zohledňuje smluvní a tržní charakteristiky nakupované elektřiny. Pro výpočet byl použit emisní faktor českého zbytkového energetického mixu ve výši 450 kg CO</w:t>
      </w:r>
      <w:r w:rsidRPr="001A1392">
        <w:rPr>
          <w:rFonts w:ascii="Cambria Math" w:eastAsia="Arial" w:hAnsi="Cambria Math" w:cs="Cambria Math"/>
          <w:sz w:val="18"/>
          <w:szCs w:val="18"/>
        </w:rPr>
        <w:t>₂</w:t>
      </w:r>
      <w:r w:rsidRPr="001A1392">
        <w:rPr>
          <w:rFonts w:ascii="Verdana" w:eastAsia="Arial" w:hAnsi="Verdana"/>
          <w:sz w:val="18"/>
          <w:szCs w:val="18"/>
        </w:rPr>
        <w:t>/</w:t>
      </w:r>
      <w:proofErr w:type="spellStart"/>
      <w:r w:rsidRPr="001A1392">
        <w:rPr>
          <w:rFonts w:ascii="Verdana" w:eastAsia="Arial" w:hAnsi="Verdana"/>
          <w:sz w:val="18"/>
          <w:szCs w:val="18"/>
        </w:rPr>
        <w:t>MWh</w:t>
      </w:r>
      <w:proofErr w:type="spellEnd"/>
      <w:r w:rsidRPr="001A1392">
        <w:rPr>
          <w:rFonts w:ascii="Verdana" w:eastAsia="Arial" w:hAnsi="Verdana"/>
          <w:sz w:val="18"/>
          <w:szCs w:val="18"/>
        </w:rPr>
        <w:t xml:space="preserve">. Emise </w:t>
      </w:r>
      <w:proofErr w:type="spellStart"/>
      <w:r w:rsidRPr="001A1392">
        <w:rPr>
          <w:rFonts w:ascii="Verdana" w:eastAsia="Arial" w:hAnsi="Verdana"/>
          <w:sz w:val="18"/>
          <w:szCs w:val="18"/>
        </w:rPr>
        <w:t>Scope</w:t>
      </w:r>
      <w:proofErr w:type="spellEnd"/>
      <w:r w:rsidRPr="001A1392">
        <w:rPr>
          <w:rFonts w:ascii="Verdana" w:eastAsia="Arial" w:hAnsi="Verdana"/>
          <w:sz w:val="18"/>
          <w:szCs w:val="18"/>
        </w:rPr>
        <w:t xml:space="preserve"> 2 stanovené touto metodou dosáhly v roce 2025 454,4 t </w:t>
      </w:r>
      <w:proofErr w:type="spellStart"/>
      <w:r w:rsidRPr="001A1392">
        <w:rPr>
          <w:rFonts w:ascii="Verdana" w:eastAsia="Arial" w:hAnsi="Verdana"/>
          <w:sz w:val="18"/>
          <w:szCs w:val="18"/>
        </w:rPr>
        <w:t>CO</w:t>
      </w:r>
      <w:r w:rsidRPr="001A1392">
        <w:rPr>
          <w:rFonts w:ascii="Cambria Math" w:eastAsia="Arial" w:hAnsi="Cambria Math" w:cs="Cambria Math"/>
          <w:sz w:val="18"/>
          <w:szCs w:val="18"/>
        </w:rPr>
        <w:t>₂</w:t>
      </w:r>
      <w:r w:rsidRPr="001A1392">
        <w:rPr>
          <w:rFonts w:ascii="Verdana" w:eastAsia="Arial" w:hAnsi="Verdana"/>
          <w:sz w:val="18"/>
          <w:szCs w:val="18"/>
        </w:rPr>
        <w:t>e</w:t>
      </w:r>
      <w:proofErr w:type="spellEnd"/>
      <w:r w:rsidRPr="001A1392">
        <w:rPr>
          <w:rFonts w:ascii="Verdana" w:eastAsia="Arial" w:hAnsi="Verdana"/>
          <w:sz w:val="18"/>
          <w:szCs w:val="18"/>
        </w:rPr>
        <w:t>.</w:t>
      </w:r>
    </w:p>
    <w:p w14:paraId="39DDCB8B" w14:textId="77777777" w:rsidR="001A1392" w:rsidRPr="001A1392" w:rsidRDefault="001A1392" w:rsidP="001A1392">
      <w:pPr>
        <w:pBdr>
          <w:top w:val="nil"/>
          <w:left w:val="nil"/>
          <w:bottom w:val="nil"/>
          <w:right w:val="nil"/>
          <w:between w:val="nil"/>
        </w:pBdr>
        <w:jc w:val="both"/>
        <w:rPr>
          <w:rFonts w:ascii="Verdana" w:eastAsia="Arial" w:hAnsi="Verdana"/>
          <w:b/>
          <w:bCs/>
          <w:sz w:val="18"/>
          <w:szCs w:val="18"/>
        </w:rPr>
      </w:pPr>
      <w:r w:rsidRPr="001A1392">
        <w:rPr>
          <w:rFonts w:ascii="Verdana" w:eastAsia="Arial" w:hAnsi="Verdana"/>
          <w:b/>
          <w:bCs/>
          <w:sz w:val="18"/>
          <w:szCs w:val="18"/>
        </w:rPr>
        <w:t xml:space="preserve">Celková uhlíková stopa </w:t>
      </w:r>
      <w:proofErr w:type="spellStart"/>
      <w:r w:rsidRPr="001A1392">
        <w:rPr>
          <w:rFonts w:ascii="Verdana" w:eastAsia="Arial" w:hAnsi="Verdana"/>
          <w:b/>
          <w:bCs/>
          <w:sz w:val="18"/>
          <w:szCs w:val="18"/>
        </w:rPr>
        <w:t>Scope</w:t>
      </w:r>
      <w:proofErr w:type="spellEnd"/>
      <w:r w:rsidRPr="001A1392">
        <w:rPr>
          <w:rFonts w:ascii="Verdana" w:eastAsia="Arial" w:hAnsi="Verdana"/>
          <w:b/>
          <w:bCs/>
          <w:sz w:val="18"/>
          <w:szCs w:val="18"/>
        </w:rPr>
        <w:t xml:space="preserve"> 1 a </w:t>
      </w:r>
      <w:proofErr w:type="spellStart"/>
      <w:r w:rsidRPr="001A1392">
        <w:rPr>
          <w:rFonts w:ascii="Verdana" w:eastAsia="Arial" w:hAnsi="Verdana"/>
          <w:b/>
          <w:bCs/>
          <w:sz w:val="18"/>
          <w:szCs w:val="18"/>
        </w:rPr>
        <w:t>Scope</w:t>
      </w:r>
      <w:proofErr w:type="spellEnd"/>
      <w:r w:rsidRPr="001A1392">
        <w:rPr>
          <w:rFonts w:ascii="Verdana" w:eastAsia="Arial" w:hAnsi="Verdana"/>
          <w:b/>
          <w:bCs/>
          <w:sz w:val="18"/>
          <w:szCs w:val="18"/>
        </w:rPr>
        <w:t xml:space="preserve"> 2</w:t>
      </w:r>
    </w:p>
    <w:p w14:paraId="0CD66B04" w14:textId="77777777" w:rsidR="001A1392" w:rsidRPr="001A1392" w:rsidRDefault="001A1392" w:rsidP="001A1392">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 xml:space="preserve">Celková uhlíková stopa společnosti v rozsahu </w:t>
      </w:r>
      <w:proofErr w:type="spellStart"/>
      <w:r w:rsidRPr="001A1392">
        <w:rPr>
          <w:rFonts w:ascii="Verdana" w:eastAsia="Arial" w:hAnsi="Verdana"/>
          <w:sz w:val="18"/>
          <w:szCs w:val="18"/>
        </w:rPr>
        <w:t>Scope</w:t>
      </w:r>
      <w:proofErr w:type="spellEnd"/>
      <w:r w:rsidRPr="001A1392">
        <w:rPr>
          <w:rFonts w:ascii="Verdana" w:eastAsia="Arial" w:hAnsi="Verdana"/>
          <w:sz w:val="18"/>
          <w:szCs w:val="18"/>
        </w:rPr>
        <w:t xml:space="preserve"> 1 a </w:t>
      </w:r>
      <w:proofErr w:type="spellStart"/>
      <w:r w:rsidRPr="001A1392">
        <w:rPr>
          <w:rFonts w:ascii="Verdana" w:eastAsia="Arial" w:hAnsi="Verdana"/>
          <w:sz w:val="18"/>
          <w:szCs w:val="18"/>
        </w:rPr>
        <w:t>Scope</w:t>
      </w:r>
      <w:proofErr w:type="spellEnd"/>
      <w:r w:rsidRPr="001A1392">
        <w:rPr>
          <w:rFonts w:ascii="Verdana" w:eastAsia="Arial" w:hAnsi="Verdana"/>
          <w:sz w:val="18"/>
          <w:szCs w:val="18"/>
        </w:rPr>
        <w:t xml:space="preserve"> 2 za rok 2025 činila:</w:t>
      </w:r>
    </w:p>
    <w:tbl>
      <w:tblPr>
        <w:tblStyle w:val="Mkatabulky"/>
        <w:tblW w:w="0" w:type="auto"/>
        <w:tblLook w:val="04A0" w:firstRow="1" w:lastRow="0" w:firstColumn="1" w:lastColumn="0" w:noHBand="0" w:noVBand="1"/>
      </w:tblPr>
      <w:tblGrid>
        <w:gridCol w:w="1586"/>
        <w:gridCol w:w="1385"/>
        <w:gridCol w:w="1385"/>
        <w:gridCol w:w="1385"/>
      </w:tblGrid>
      <w:tr w:rsidR="001A1392" w:rsidRPr="001A1392" w14:paraId="1A3C3B86" w14:textId="77777777" w:rsidTr="001A1392">
        <w:tc>
          <w:tcPr>
            <w:tcW w:w="0" w:type="auto"/>
            <w:hideMark/>
          </w:tcPr>
          <w:p w14:paraId="18D431ED" w14:textId="77777777" w:rsidR="001A1392" w:rsidRPr="001A1392" w:rsidRDefault="001A1392">
            <w:pPr>
              <w:jc w:val="center"/>
              <w:rPr>
                <w:rFonts w:ascii="Verdana" w:hAnsi="Verdana"/>
                <w:b/>
                <w:bCs/>
                <w:sz w:val="18"/>
                <w:szCs w:val="18"/>
              </w:rPr>
            </w:pPr>
            <w:r w:rsidRPr="001A1392">
              <w:rPr>
                <w:rFonts w:ascii="Verdana" w:hAnsi="Verdana"/>
                <w:b/>
                <w:bCs/>
                <w:sz w:val="18"/>
                <w:szCs w:val="18"/>
              </w:rPr>
              <w:t>Metoda</w:t>
            </w:r>
          </w:p>
        </w:tc>
        <w:tc>
          <w:tcPr>
            <w:tcW w:w="0" w:type="auto"/>
            <w:hideMark/>
          </w:tcPr>
          <w:p w14:paraId="1F8C10CA" w14:textId="77777777" w:rsidR="001A1392" w:rsidRPr="001A1392" w:rsidRDefault="001A1392">
            <w:pPr>
              <w:jc w:val="center"/>
              <w:rPr>
                <w:rFonts w:ascii="Verdana" w:hAnsi="Verdana"/>
                <w:b/>
                <w:bCs/>
                <w:sz w:val="18"/>
                <w:szCs w:val="18"/>
              </w:rPr>
            </w:pPr>
            <w:proofErr w:type="spellStart"/>
            <w:r w:rsidRPr="001A1392">
              <w:rPr>
                <w:rFonts w:ascii="Verdana" w:hAnsi="Verdana"/>
                <w:b/>
                <w:bCs/>
                <w:sz w:val="18"/>
                <w:szCs w:val="18"/>
              </w:rPr>
              <w:t>Scope</w:t>
            </w:r>
            <w:proofErr w:type="spellEnd"/>
            <w:r w:rsidRPr="001A1392">
              <w:rPr>
                <w:rFonts w:ascii="Verdana" w:hAnsi="Verdana"/>
                <w:b/>
                <w:bCs/>
                <w:sz w:val="18"/>
                <w:szCs w:val="18"/>
              </w:rPr>
              <w:t xml:space="preserve"> 1</w:t>
            </w:r>
          </w:p>
        </w:tc>
        <w:tc>
          <w:tcPr>
            <w:tcW w:w="0" w:type="auto"/>
            <w:hideMark/>
          </w:tcPr>
          <w:p w14:paraId="5B6CD7FE" w14:textId="77777777" w:rsidR="001A1392" w:rsidRPr="001A1392" w:rsidRDefault="001A1392">
            <w:pPr>
              <w:jc w:val="center"/>
              <w:rPr>
                <w:rFonts w:ascii="Verdana" w:hAnsi="Verdana"/>
                <w:b/>
                <w:bCs/>
                <w:sz w:val="18"/>
                <w:szCs w:val="18"/>
              </w:rPr>
            </w:pPr>
            <w:proofErr w:type="spellStart"/>
            <w:r w:rsidRPr="001A1392">
              <w:rPr>
                <w:rFonts w:ascii="Verdana" w:hAnsi="Verdana"/>
                <w:b/>
                <w:bCs/>
                <w:sz w:val="18"/>
                <w:szCs w:val="18"/>
              </w:rPr>
              <w:t>Scope</w:t>
            </w:r>
            <w:proofErr w:type="spellEnd"/>
            <w:r w:rsidRPr="001A1392">
              <w:rPr>
                <w:rFonts w:ascii="Verdana" w:hAnsi="Verdana"/>
                <w:b/>
                <w:bCs/>
                <w:sz w:val="18"/>
                <w:szCs w:val="18"/>
              </w:rPr>
              <w:t xml:space="preserve"> 2</w:t>
            </w:r>
          </w:p>
        </w:tc>
        <w:tc>
          <w:tcPr>
            <w:tcW w:w="0" w:type="auto"/>
            <w:hideMark/>
          </w:tcPr>
          <w:p w14:paraId="79A71777" w14:textId="77777777" w:rsidR="001A1392" w:rsidRPr="001A1392" w:rsidRDefault="001A1392">
            <w:pPr>
              <w:jc w:val="center"/>
              <w:rPr>
                <w:rFonts w:ascii="Verdana" w:hAnsi="Verdana"/>
                <w:b/>
                <w:bCs/>
                <w:sz w:val="18"/>
                <w:szCs w:val="18"/>
              </w:rPr>
            </w:pPr>
            <w:r w:rsidRPr="001A1392">
              <w:rPr>
                <w:rFonts w:ascii="Verdana" w:hAnsi="Verdana"/>
                <w:b/>
                <w:bCs/>
                <w:sz w:val="18"/>
                <w:szCs w:val="18"/>
              </w:rPr>
              <w:t>Celkem</w:t>
            </w:r>
          </w:p>
        </w:tc>
      </w:tr>
      <w:tr w:rsidR="001A1392" w:rsidRPr="001A1392" w14:paraId="56DAB528" w14:textId="77777777" w:rsidTr="001A1392">
        <w:tc>
          <w:tcPr>
            <w:tcW w:w="0" w:type="auto"/>
            <w:hideMark/>
          </w:tcPr>
          <w:p w14:paraId="13C450EF" w14:textId="77777777" w:rsidR="001A1392" w:rsidRPr="001A1392" w:rsidRDefault="001A1392">
            <w:pPr>
              <w:rPr>
                <w:rFonts w:ascii="Verdana" w:hAnsi="Verdana"/>
                <w:sz w:val="18"/>
                <w:szCs w:val="18"/>
              </w:rPr>
            </w:pPr>
            <w:proofErr w:type="spellStart"/>
            <w:r w:rsidRPr="001A1392">
              <w:rPr>
                <w:rStyle w:val="Siln"/>
                <w:rFonts w:ascii="Verdana" w:hAnsi="Verdana"/>
                <w:b w:val="0"/>
                <w:bCs w:val="0"/>
                <w:sz w:val="18"/>
                <w:szCs w:val="18"/>
              </w:rPr>
              <w:t>Location-based</w:t>
            </w:r>
            <w:proofErr w:type="spellEnd"/>
          </w:p>
        </w:tc>
        <w:tc>
          <w:tcPr>
            <w:tcW w:w="0" w:type="auto"/>
            <w:hideMark/>
          </w:tcPr>
          <w:p w14:paraId="6D619EB6" w14:textId="77777777" w:rsidR="001A1392" w:rsidRPr="001A1392" w:rsidRDefault="001A1392">
            <w:pPr>
              <w:rPr>
                <w:rFonts w:ascii="Verdana" w:hAnsi="Verdana"/>
                <w:sz w:val="18"/>
                <w:szCs w:val="18"/>
              </w:rPr>
            </w:pPr>
            <w:r w:rsidRPr="001A1392">
              <w:rPr>
                <w:rFonts w:ascii="Verdana" w:hAnsi="Verdana"/>
                <w:sz w:val="18"/>
                <w:szCs w:val="18"/>
              </w:rPr>
              <w:t xml:space="preserve">157,7 t </w:t>
            </w:r>
            <w:proofErr w:type="spellStart"/>
            <w:r w:rsidRPr="001A1392">
              <w:rPr>
                <w:rFonts w:ascii="Verdana" w:hAnsi="Verdana"/>
                <w:sz w:val="18"/>
                <w:szCs w:val="18"/>
              </w:rPr>
              <w:t>CO</w:t>
            </w:r>
            <w:r w:rsidRPr="001A1392">
              <w:rPr>
                <w:rFonts w:ascii="Cambria Math" w:hAnsi="Cambria Math" w:cs="Cambria Math"/>
                <w:sz w:val="18"/>
                <w:szCs w:val="18"/>
              </w:rPr>
              <w:t>₂</w:t>
            </w:r>
            <w:r w:rsidRPr="001A1392">
              <w:rPr>
                <w:rFonts w:ascii="Verdana" w:hAnsi="Verdana"/>
                <w:sz w:val="18"/>
                <w:szCs w:val="18"/>
              </w:rPr>
              <w:t>e</w:t>
            </w:r>
            <w:proofErr w:type="spellEnd"/>
          </w:p>
        </w:tc>
        <w:tc>
          <w:tcPr>
            <w:tcW w:w="0" w:type="auto"/>
            <w:hideMark/>
          </w:tcPr>
          <w:p w14:paraId="5512ADAB" w14:textId="77777777" w:rsidR="001A1392" w:rsidRPr="001A1392" w:rsidRDefault="001A1392">
            <w:pPr>
              <w:rPr>
                <w:rFonts w:ascii="Verdana" w:hAnsi="Verdana"/>
                <w:sz w:val="18"/>
                <w:szCs w:val="18"/>
              </w:rPr>
            </w:pPr>
            <w:r w:rsidRPr="001A1392">
              <w:rPr>
                <w:rFonts w:ascii="Verdana" w:hAnsi="Verdana"/>
                <w:sz w:val="18"/>
                <w:szCs w:val="18"/>
              </w:rPr>
              <w:t xml:space="preserve">333,2 t </w:t>
            </w:r>
            <w:proofErr w:type="spellStart"/>
            <w:r w:rsidRPr="001A1392">
              <w:rPr>
                <w:rFonts w:ascii="Verdana" w:hAnsi="Verdana"/>
                <w:sz w:val="18"/>
                <w:szCs w:val="18"/>
              </w:rPr>
              <w:t>CO</w:t>
            </w:r>
            <w:r w:rsidRPr="001A1392">
              <w:rPr>
                <w:rFonts w:ascii="Cambria Math" w:hAnsi="Cambria Math" w:cs="Cambria Math"/>
                <w:sz w:val="18"/>
                <w:szCs w:val="18"/>
              </w:rPr>
              <w:t>₂</w:t>
            </w:r>
            <w:r w:rsidRPr="001A1392">
              <w:rPr>
                <w:rFonts w:ascii="Verdana" w:hAnsi="Verdana"/>
                <w:sz w:val="18"/>
                <w:szCs w:val="18"/>
              </w:rPr>
              <w:t>e</w:t>
            </w:r>
            <w:proofErr w:type="spellEnd"/>
          </w:p>
        </w:tc>
        <w:tc>
          <w:tcPr>
            <w:tcW w:w="0" w:type="auto"/>
            <w:hideMark/>
          </w:tcPr>
          <w:p w14:paraId="489D5535" w14:textId="77777777" w:rsidR="001A1392" w:rsidRPr="001A1392" w:rsidRDefault="001A1392">
            <w:pPr>
              <w:rPr>
                <w:rFonts w:ascii="Verdana" w:hAnsi="Verdana"/>
                <w:sz w:val="18"/>
                <w:szCs w:val="18"/>
              </w:rPr>
            </w:pPr>
            <w:r w:rsidRPr="001A1392">
              <w:rPr>
                <w:rStyle w:val="Siln"/>
                <w:rFonts w:ascii="Verdana" w:hAnsi="Verdana"/>
                <w:b w:val="0"/>
                <w:bCs w:val="0"/>
                <w:sz w:val="18"/>
                <w:szCs w:val="18"/>
              </w:rPr>
              <w:t xml:space="preserve">490,9 t </w:t>
            </w:r>
            <w:proofErr w:type="spellStart"/>
            <w:r w:rsidRPr="001A1392">
              <w:rPr>
                <w:rStyle w:val="Siln"/>
                <w:rFonts w:ascii="Verdana" w:hAnsi="Verdana"/>
                <w:b w:val="0"/>
                <w:bCs w:val="0"/>
                <w:sz w:val="18"/>
                <w:szCs w:val="18"/>
              </w:rPr>
              <w:t>CO</w:t>
            </w:r>
            <w:r w:rsidRPr="001A1392">
              <w:rPr>
                <w:rStyle w:val="Siln"/>
                <w:rFonts w:ascii="Cambria Math" w:hAnsi="Cambria Math" w:cs="Cambria Math"/>
                <w:b w:val="0"/>
                <w:bCs w:val="0"/>
                <w:sz w:val="18"/>
                <w:szCs w:val="18"/>
              </w:rPr>
              <w:t>₂</w:t>
            </w:r>
            <w:r w:rsidRPr="001A1392">
              <w:rPr>
                <w:rStyle w:val="Siln"/>
                <w:rFonts w:ascii="Verdana" w:hAnsi="Verdana"/>
                <w:b w:val="0"/>
                <w:bCs w:val="0"/>
                <w:sz w:val="18"/>
                <w:szCs w:val="18"/>
              </w:rPr>
              <w:t>e</w:t>
            </w:r>
            <w:proofErr w:type="spellEnd"/>
          </w:p>
        </w:tc>
      </w:tr>
      <w:tr w:rsidR="001A1392" w:rsidRPr="001A1392" w14:paraId="24D766C6" w14:textId="77777777" w:rsidTr="001A1392">
        <w:tc>
          <w:tcPr>
            <w:tcW w:w="0" w:type="auto"/>
            <w:hideMark/>
          </w:tcPr>
          <w:p w14:paraId="1F64B6BF" w14:textId="77777777" w:rsidR="001A1392" w:rsidRPr="001A1392" w:rsidRDefault="001A1392">
            <w:pPr>
              <w:rPr>
                <w:rFonts w:ascii="Verdana" w:hAnsi="Verdana"/>
                <w:sz w:val="18"/>
                <w:szCs w:val="18"/>
              </w:rPr>
            </w:pPr>
            <w:r w:rsidRPr="001A1392">
              <w:rPr>
                <w:rStyle w:val="Siln"/>
                <w:rFonts w:ascii="Verdana" w:hAnsi="Verdana"/>
                <w:b w:val="0"/>
                <w:bCs w:val="0"/>
                <w:sz w:val="18"/>
                <w:szCs w:val="18"/>
              </w:rPr>
              <w:t>Market-</w:t>
            </w:r>
            <w:proofErr w:type="spellStart"/>
            <w:r w:rsidRPr="001A1392">
              <w:rPr>
                <w:rStyle w:val="Siln"/>
                <w:rFonts w:ascii="Verdana" w:hAnsi="Verdana"/>
                <w:b w:val="0"/>
                <w:bCs w:val="0"/>
                <w:sz w:val="18"/>
                <w:szCs w:val="18"/>
              </w:rPr>
              <w:t>based</w:t>
            </w:r>
            <w:proofErr w:type="spellEnd"/>
          </w:p>
        </w:tc>
        <w:tc>
          <w:tcPr>
            <w:tcW w:w="0" w:type="auto"/>
            <w:hideMark/>
          </w:tcPr>
          <w:p w14:paraId="75C3707C" w14:textId="77777777" w:rsidR="001A1392" w:rsidRPr="001A1392" w:rsidRDefault="001A1392">
            <w:pPr>
              <w:rPr>
                <w:rFonts w:ascii="Verdana" w:hAnsi="Verdana"/>
                <w:sz w:val="18"/>
                <w:szCs w:val="18"/>
              </w:rPr>
            </w:pPr>
            <w:r w:rsidRPr="001A1392">
              <w:rPr>
                <w:rFonts w:ascii="Verdana" w:hAnsi="Verdana"/>
                <w:sz w:val="18"/>
                <w:szCs w:val="18"/>
              </w:rPr>
              <w:t xml:space="preserve">157,7 t </w:t>
            </w:r>
            <w:proofErr w:type="spellStart"/>
            <w:r w:rsidRPr="001A1392">
              <w:rPr>
                <w:rFonts w:ascii="Verdana" w:hAnsi="Verdana"/>
                <w:sz w:val="18"/>
                <w:szCs w:val="18"/>
              </w:rPr>
              <w:t>CO</w:t>
            </w:r>
            <w:r w:rsidRPr="001A1392">
              <w:rPr>
                <w:rFonts w:ascii="Cambria Math" w:hAnsi="Cambria Math" w:cs="Cambria Math"/>
                <w:sz w:val="18"/>
                <w:szCs w:val="18"/>
              </w:rPr>
              <w:t>₂</w:t>
            </w:r>
            <w:r w:rsidRPr="001A1392">
              <w:rPr>
                <w:rFonts w:ascii="Verdana" w:hAnsi="Verdana"/>
                <w:sz w:val="18"/>
                <w:szCs w:val="18"/>
              </w:rPr>
              <w:t>e</w:t>
            </w:r>
            <w:proofErr w:type="spellEnd"/>
          </w:p>
        </w:tc>
        <w:tc>
          <w:tcPr>
            <w:tcW w:w="0" w:type="auto"/>
            <w:hideMark/>
          </w:tcPr>
          <w:p w14:paraId="65BF409A" w14:textId="77777777" w:rsidR="001A1392" w:rsidRPr="001A1392" w:rsidRDefault="001A1392">
            <w:pPr>
              <w:rPr>
                <w:rFonts w:ascii="Verdana" w:hAnsi="Verdana"/>
                <w:sz w:val="18"/>
                <w:szCs w:val="18"/>
              </w:rPr>
            </w:pPr>
            <w:r w:rsidRPr="001A1392">
              <w:rPr>
                <w:rFonts w:ascii="Verdana" w:hAnsi="Verdana"/>
                <w:sz w:val="18"/>
                <w:szCs w:val="18"/>
              </w:rPr>
              <w:t xml:space="preserve">454,4 t </w:t>
            </w:r>
            <w:proofErr w:type="spellStart"/>
            <w:r w:rsidRPr="001A1392">
              <w:rPr>
                <w:rFonts w:ascii="Verdana" w:hAnsi="Verdana"/>
                <w:sz w:val="18"/>
                <w:szCs w:val="18"/>
              </w:rPr>
              <w:t>CO</w:t>
            </w:r>
            <w:r w:rsidRPr="001A1392">
              <w:rPr>
                <w:rFonts w:ascii="Cambria Math" w:hAnsi="Cambria Math" w:cs="Cambria Math"/>
                <w:sz w:val="18"/>
                <w:szCs w:val="18"/>
              </w:rPr>
              <w:t>₂</w:t>
            </w:r>
            <w:r w:rsidRPr="001A1392">
              <w:rPr>
                <w:rFonts w:ascii="Verdana" w:hAnsi="Verdana"/>
                <w:sz w:val="18"/>
                <w:szCs w:val="18"/>
              </w:rPr>
              <w:t>e</w:t>
            </w:r>
            <w:proofErr w:type="spellEnd"/>
          </w:p>
        </w:tc>
        <w:tc>
          <w:tcPr>
            <w:tcW w:w="0" w:type="auto"/>
            <w:hideMark/>
          </w:tcPr>
          <w:p w14:paraId="751E4203" w14:textId="77777777" w:rsidR="001A1392" w:rsidRPr="001A1392" w:rsidRDefault="001A1392">
            <w:pPr>
              <w:rPr>
                <w:rFonts w:ascii="Verdana" w:hAnsi="Verdana"/>
                <w:sz w:val="18"/>
                <w:szCs w:val="18"/>
              </w:rPr>
            </w:pPr>
            <w:r w:rsidRPr="001A1392">
              <w:rPr>
                <w:rStyle w:val="Siln"/>
                <w:rFonts w:ascii="Verdana" w:hAnsi="Verdana"/>
                <w:b w:val="0"/>
                <w:bCs w:val="0"/>
                <w:sz w:val="18"/>
                <w:szCs w:val="18"/>
              </w:rPr>
              <w:t xml:space="preserve">612,1 t </w:t>
            </w:r>
            <w:proofErr w:type="spellStart"/>
            <w:r w:rsidRPr="001A1392">
              <w:rPr>
                <w:rStyle w:val="Siln"/>
                <w:rFonts w:ascii="Verdana" w:hAnsi="Verdana"/>
                <w:b w:val="0"/>
                <w:bCs w:val="0"/>
                <w:sz w:val="18"/>
                <w:szCs w:val="18"/>
              </w:rPr>
              <w:t>CO</w:t>
            </w:r>
            <w:r w:rsidRPr="001A1392">
              <w:rPr>
                <w:rStyle w:val="Siln"/>
                <w:rFonts w:ascii="Cambria Math" w:hAnsi="Cambria Math" w:cs="Cambria Math"/>
                <w:b w:val="0"/>
                <w:bCs w:val="0"/>
                <w:sz w:val="18"/>
                <w:szCs w:val="18"/>
              </w:rPr>
              <w:t>₂</w:t>
            </w:r>
            <w:r w:rsidRPr="001A1392">
              <w:rPr>
                <w:rStyle w:val="Siln"/>
                <w:rFonts w:ascii="Verdana" w:hAnsi="Verdana"/>
                <w:b w:val="0"/>
                <w:bCs w:val="0"/>
                <w:sz w:val="18"/>
                <w:szCs w:val="18"/>
              </w:rPr>
              <w:t>e</w:t>
            </w:r>
            <w:proofErr w:type="spellEnd"/>
          </w:p>
        </w:tc>
      </w:tr>
    </w:tbl>
    <w:p w14:paraId="345B6052" w14:textId="77777777" w:rsidR="001A1392" w:rsidRDefault="001A1392" w:rsidP="001A1392">
      <w:pPr>
        <w:pBdr>
          <w:top w:val="nil"/>
          <w:left w:val="nil"/>
          <w:bottom w:val="nil"/>
          <w:right w:val="nil"/>
          <w:between w:val="nil"/>
        </w:pBdr>
        <w:jc w:val="both"/>
        <w:rPr>
          <w:rFonts w:ascii="Verdana" w:eastAsia="Arial" w:hAnsi="Verdana"/>
          <w:sz w:val="18"/>
          <w:szCs w:val="18"/>
        </w:rPr>
      </w:pPr>
    </w:p>
    <w:p w14:paraId="768E932B" w14:textId="152B2C9E" w:rsidR="001A1392" w:rsidRPr="001A1392" w:rsidRDefault="001A1392" w:rsidP="001A1392">
      <w:pPr>
        <w:pBdr>
          <w:top w:val="nil"/>
          <w:left w:val="nil"/>
          <w:bottom w:val="nil"/>
          <w:right w:val="nil"/>
          <w:between w:val="nil"/>
        </w:pBdr>
        <w:jc w:val="both"/>
        <w:rPr>
          <w:rFonts w:ascii="Verdana" w:eastAsia="Arial" w:hAnsi="Verdana"/>
          <w:sz w:val="18"/>
          <w:szCs w:val="18"/>
        </w:rPr>
      </w:pPr>
      <w:proofErr w:type="spellStart"/>
      <w:r w:rsidRPr="001A1392">
        <w:rPr>
          <w:rFonts w:ascii="Verdana" w:eastAsia="Arial" w:hAnsi="Verdana"/>
          <w:sz w:val="18"/>
          <w:szCs w:val="18"/>
        </w:rPr>
        <w:t>Scope</w:t>
      </w:r>
      <w:proofErr w:type="spellEnd"/>
      <w:r w:rsidRPr="001A1392">
        <w:rPr>
          <w:rFonts w:ascii="Verdana" w:eastAsia="Arial" w:hAnsi="Verdana"/>
          <w:sz w:val="18"/>
          <w:szCs w:val="18"/>
        </w:rPr>
        <w:t xml:space="preserve"> 1 je u obou metod shodný. Rozdíl ve výsledné uhlíkové stopě vzniká v rámci </w:t>
      </w:r>
      <w:proofErr w:type="spellStart"/>
      <w:r w:rsidRPr="001A1392">
        <w:rPr>
          <w:rFonts w:ascii="Verdana" w:eastAsia="Arial" w:hAnsi="Verdana"/>
          <w:sz w:val="18"/>
          <w:szCs w:val="18"/>
        </w:rPr>
        <w:t>Scope</w:t>
      </w:r>
      <w:proofErr w:type="spellEnd"/>
      <w:r w:rsidRPr="001A1392">
        <w:rPr>
          <w:rFonts w:ascii="Verdana" w:eastAsia="Arial" w:hAnsi="Verdana"/>
          <w:sz w:val="18"/>
          <w:szCs w:val="18"/>
        </w:rPr>
        <w:t xml:space="preserve"> 2 v důsledku rozdílného emisního faktoru nakupované elektřiny.</w:t>
      </w:r>
    </w:p>
    <w:p w14:paraId="56B0BF46" w14:textId="77777777" w:rsidR="001A1392" w:rsidRPr="001A1392" w:rsidRDefault="001A1392" w:rsidP="001A1392">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Výsledná hodnota podle market-</w:t>
      </w:r>
      <w:proofErr w:type="spellStart"/>
      <w:r w:rsidRPr="001A1392">
        <w:rPr>
          <w:rFonts w:ascii="Verdana" w:eastAsia="Arial" w:hAnsi="Verdana"/>
          <w:sz w:val="18"/>
          <w:szCs w:val="18"/>
        </w:rPr>
        <w:t>based</w:t>
      </w:r>
      <w:proofErr w:type="spellEnd"/>
      <w:r w:rsidRPr="001A1392">
        <w:rPr>
          <w:rFonts w:ascii="Verdana" w:eastAsia="Arial" w:hAnsi="Verdana"/>
          <w:sz w:val="18"/>
          <w:szCs w:val="18"/>
        </w:rPr>
        <w:t xml:space="preserve"> metody je oproti </w:t>
      </w:r>
      <w:proofErr w:type="spellStart"/>
      <w:r w:rsidRPr="001A1392">
        <w:rPr>
          <w:rFonts w:ascii="Verdana" w:eastAsia="Arial" w:hAnsi="Verdana"/>
          <w:sz w:val="18"/>
          <w:szCs w:val="18"/>
        </w:rPr>
        <w:t>location-based</w:t>
      </w:r>
      <w:proofErr w:type="spellEnd"/>
      <w:r w:rsidRPr="001A1392">
        <w:rPr>
          <w:rFonts w:ascii="Verdana" w:eastAsia="Arial" w:hAnsi="Verdana"/>
          <w:sz w:val="18"/>
          <w:szCs w:val="18"/>
        </w:rPr>
        <w:t xml:space="preserve"> metodě vyšší přibližně o 121,2 t </w:t>
      </w:r>
      <w:proofErr w:type="spellStart"/>
      <w:r w:rsidRPr="001A1392">
        <w:rPr>
          <w:rFonts w:ascii="Verdana" w:eastAsia="Arial" w:hAnsi="Verdana"/>
          <w:sz w:val="18"/>
          <w:szCs w:val="18"/>
        </w:rPr>
        <w:t>CO</w:t>
      </w:r>
      <w:r w:rsidRPr="001A1392">
        <w:rPr>
          <w:rFonts w:ascii="Cambria Math" w:eastAsia="Arial" w:hAnsi="Cambria Math" w:cs="Cambria Math"/>
          <w:sz w:val="18"/>
          <w:szCs w:val="18"/>
        </w:rPr>
        <w:t>₂</w:t>
      </w:r>
      <w:r w:rsidRPr="001A1392">
        <w:rPr>
          <w:rFonts w:ascii="Verdana" w:eastAsia="Arial" w:hAnsi="Verdana"/>
          <w:sz w:val="18"/>
          <w:szCs w:val="18"/>
        </w:rPr>
        <w:t>e</w:t>
      </w:r>
      <w:proofErr w:type="spellEnd"/>
      <w:r w:rsidRPr="001A1392">
        <w:rPr>
          <w:rFonts w:ascii="Verdana" w:eastAsia="Arial" w:hAnsi="Verdana"/>
          <w:sz w:val="18"/>
          <w:szCs w:val="18"/>
        </w:rPr>
        <w:t>. Důvodem je vyšší emisní faktor českého zbytkového energetického mixu oproti průměrnému emisnímu faktoru české elektrizační soustavy.</w:t>
      </w:r>
    </w:p>
    <w:p w14:paraId="55A6B46C" w14:textId="77777777" w:rsidR="001A1392" w:rsidRPr="001A1392" w:rsidRDefault="001A1392" w:rsidP="001A1392">
      <w:pPr>
        <w:pBdr>
          <w:top w:val="nil"/>
          <w:left w:val="nil"/>
          <w:bottom w:val="nil"/>
          <w:right w:val="nil"/>
          <w:between w:val="nil"/>
        </w:pBdr>
        <w:jc w:val="both"/>
        <w:rPr>
          <w:rFonts w:ascii="Verdana" w:eastAsia="Arial" w:hAnsi="Verdana"/>
          <w:b/>
          <w:bCs/>
          <w:sz w:val="18"/>
          <w:szCs w:val="18"/>
        </w:rPr>
      </w:pPr>
      <w:r w:rsidRPr="001A1392">
        <w:rPr>
          <w:rFonts w:ascii="Verdana" w:eastAsia="Arial" w:hAnsi="Verdana"/>
          <w:b/>
          <w:bCs/>
          <w:sz w:val="18"/>
          <w:szCs w:val="18"/>
        </w:rPr>
        <w:t>Emisní intenzita</w:t>
      </w:r>
    </w:p>
    <w:p w14:paraId="776484D3" w14:textId="77777777" w:rsidR="001A1392" w:rsidRPr="001A1392" w:rsidRDefault="001A1392" w:rsidP="001A1392">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Pro lepší sledování vývoje uhlíkové stopy vyhodnocujeme také emisní intenzitu vztaženou k počtu zaměstnanců. Při počtu 181 zaměstnanců činila v roce 2025:</w:t>
      </w:r>
    </w:p>
    <w:p w14:paraId="66487A93" w14:textId="77777777" w:rsidR="001A1392" w:rsidRPr="001A1392" w:rsidRDefault="001A1392" w:rsidP="001A1392">
      <w:pPr>
        <w:pStyle w:val="Odstavecseseznamem"/>
        <w:numPr>
          <w:ilvl w:val="0"/>
          <w:numId w:val="9"/>
        </w:numPr>
        <w:pBdr>
          <w:top w:val="nil"/>
          <w:left w:val="nil"/>
          <w:bottom w:val="nil"/>
          <w:right w:val="nil"/>
          <w:between w:val="nil"/>
        </w:pBdr>
        <w:jc w:val="both"/>
        <w:rPr>
          <w:rFonts w:ascii="Verdana" w:eastAsia="Arial" w:hAnsi="Verdana"/>
          <w:sz w:val="18"/>
          <w:szCs w:val="18"/>
        </w:rPr>
      </w:pPr>
      <w:r w:rsidRPr="001A1392">
        <w:rPr>
          <w:rStyle w:val="Siln"/>
          <w:rFonts w:ascii="Verdana" w:hAnsi="Verdana"/>
          <w:b w:val="0"/>
          <w:bCs w:val="0"/>
          <w:sz w:val="18"/>
          <w:szCs w:val="18"/>
        </w:rPr>
        <w:t>2</w:t>
      </w:r>
      <w:r w:rsidRPr="001A1392">
        <w:rPr>
          <w:rFonts w:ascii="Verdana" w:eastAsia="Arial" w:hAnsi="Verdana"/>
          <w:sz w:val="18"/>
          <w:szCs w:val="18"/>
        </w:rPr>
        <w:t xml:space="preserve">,71 t </w:t>
      </w:r>
      <w:proofErr w:type="spellStart"/>
      <w:r w:rsidRPr="001A1392">
        <w:rPr>
          <w:rFonts w:ascii="Verdana" w:eastAsia="Arial" w:hAnsi="Verdana"/>
          <w:sz w:val="18"/>
          <w:szCs w:val="18"/>
        </w:rPr>
        <w:t>CO</w:t>
      </w:r>
      <w:r w:rsidRPr="001A1392">
        <w:rPr>
          <w:rFonts w:ascii="Cambria Math" w:eastAsia="Arial" w:hAnsi="Cambria Math" w:cs="Cambria Math"/>
          <w:sz w:val="18"/>
          <w:szCs w:val="18"/>
        </w:rPr>
        <w:t>₂</w:t>
      </w:r>
      <w:r w:rsidRPr="001A1392">
        <w:rPr>
          <w:rFonts w:ascii="Verdana" w:eastAsia="Arial" w:hAnsi="Verdana"/>
          <w:sz w:val="18"/>
          <w:szCs w:val="18"/>
        </w:rPr>
        <w:t>e</w:t>
      </w:r>
      <w:proofErr w:type="spellEnd"/>
      <w:r w:rsidRPr="001A1392">
        <w:rPr>
          <w:rFonts w:ascii="Verdana" w:eastAsia="Arial" w:hAnsi="Verdana"/>
          <w:sz w:val="18"/>
          <w:szCs w:val="18"/>
        </w:rPr>
        <w:t xml:space="preserve"> na zaměstnance při použití </w:t>
      </w:r>
      <w:proofErr w:type="spellStart"/>
      <w:r w:rsidRPr="001A1392">
        <w:rPr>
          <w:rFonts w:ascii="Verdana" w:eastAsia="Arial" w:hAnsi="Verdana"/>
          <w:sz w:val="18"/>
          <w:szCs w:val="18"/>
        </w:rPr>
        <w:t>location-based</w:t>
      </w:r>
      <w:proofErr w:type="spellEnd"/>
      <w:r w:rsidRPr="001A1392">
        <w:rPr>
          <w:rFonts w:ascii="Verdana" w:eastAsia="Arial" w:hAnsi="Verdana"/>
          <w:sz w:val="18"/>
          <w:szCs w:val="18"/>
        </w:rPr>
        <w:t xml:space="preserve"> metody,</w:t>
      </w:r>
    </w:p>
    <w:p w14:paraId="05935736" w14:textId="77777777" w:rsidR="001A1392" w:rsidRPr="001A1392" w:rsidRDefault="001A1392" w:rsidP="001A1392">
      <w:pPr>
        <w:pStyle w:val="Odstavecseseznamem"/>
        <w:numPr>
          <w:ilvl w:val="0"/>
          <w:numId w:val="9"/>
        </w:num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 xml:space="preserve">3,38 t </w:t>
      </w:r>
      <w:proofErr w:type="spellStart"/>
      <w:r w:rsidRPr="001A1392">
        <w:rPr>
          <w:rFonts w:ascii="Verdana" w:eastAsia="Arial" w:hAnsi="Verdana"/>
          <w:sz w:val="18"/>
          <w:szCs w:val="18"/>
        </w:rPr>
        <w:t>CO</w:t>
      </w:r>
      <w:r w:rsidRPr="001A1392">
        <w:rPr>
          <w:rFonts w:ascii="Cambria Math" w:eastAsia="Arial" w:hAnsi="Cambria Math" w:cs="Cambria Math"/>
          <w:sz w:val="18"/>
          <w:szCs w:val="18"/>
        </w:rPr>
        <w:t>₂</w:t>
      </w:r>
      <w:r w:rsidRPr="001A1392">
        <w:rPr>
          <w:rFonts w:ascii="Verdana" w:eastAsia="Arial" w:hAnsi="Verdana"/>
          <w:sz w:val="18"/>
          <w:szCs w:val="18"/>
        </w:rPr>
        <w:t>e</w:t>
      </w:r>
      <w:proofErr w:type="spellEnd"/>
      <w:r w:rsidRPr="001A1392">
        <w:rPr>
          <w:rFonts w:ascii="Verdana" w:eastAsia="Arial" w:hAnsi="Verdana"/>
          <w:sz w:val="18"/>
          <w:szCs w:val="18"/>
        </w:rPr>
        <w:t xml:space="preserve"> na zaměstnance při použití market-</w:t>
      </w:r>
      <w:proofErr w:type="spellStart"/>
      <w:r w:rsidRPr="001A1392">
        <w:rPr>
          <w:rFonts w:ascii="Verdana" w:eastAsia="Arial" w:hAnsi="Verdana"/>
          <w:sz w:val="18"/>
          <w:szCs w:val="18"/>
        </w:rPr>
        <w:t>based</w:t>
      </w:r>
      <w:proofErr w:type="spellEnd"/>
      <w:r w:rsidRPr="001A1392">
        <w:rPr>
          <w:rFonts w:ascii="Verdana" w:eastAsia="Arial" w:hAnsi="Verdana"/>
          <w:sz w:val="18"/>
          <w:szCs w:val="18"/>
        </w:rPr>
        <w:t xml:space="preserve"> metody.</w:t>
      </w:r>
    </w:p>
    <w:p w14:paraId="00856520" w14:textId="77777777" w:rsidR="001A1392" w:rsidRPr="001A1392" w:rsidRDefault="001A1392" w:rsidP="001A1392">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Tento ukazatel budeme využívat zejména pro meziroční sledování vývoje emisní náročnosti společnosti. Pro potřeby vykazování podle VSME bude současně sledována GHG intenzita ve vztahu k obratu společnosti.</w:t>
      </w:r>
    </w:p>
    <w:p w14:paraId="18851A13" w14:textId="77777777" w:rsidR="001A1392" w:rsidRPr="001A1392" w:rsidRDefault="001A1392" w:rsidP="001A1392">
      <w:pPr>
        <w:pStyle w:val="Nadpis3"/>
        <w:rPr>
          <w:rFonts w:ascii="Verdana" w:hAnsi="Verdana"/>
          <w:sz w:val="18"/>
          <w:szCs w:val="18"/>
        </w:rPr>
      </w:pPr>
      <w:r w:rsidRPr="001A1392">
        <w:rPr>
          <w:rFonts w:ascii="Verdana" w:hAnsi="Verdana"/>
          <w:sz w:val="18"/>
          <w:szCs w:val="18"/>
        </w:rPr>
        <w:t>Vlastní výroba elektřiny z fotovoltaiky</w:t>
      </w:r>
    </w:p>
    <w:p w14:paraId="45460D24" w14:textId="77777777" w:rsidR="001A1392" w:rsidRPr="001A1392" w:rsidRDefault="001A1392" w:rsidP="001A1392">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 xml:space="preserve">Významným opatřením v oblasti energetiky bylo dokončení fotovoltaické elektrárny v provozovně Zápy o instalovaném výkonu 99,36 </w:t>
      </w:r>
      <w:proofErr w:type="spellStart"/>
      <w:r w:rsidRPr="001A1392">
        <w:rPr>
          <w:rFonts w:ascii="Verdana" w:eastAsia="Arial" w:hAnsi="Verdana"/>
          <w:sz w:val="18"/>
          <w:szCs w:val="18"/>
        </w:rPr>
        <w:t>kWp</w:t>
      </w:r>
      <w:proofErr w:type="spellEnd"/>
      <w:r w:rsidRPr="001A1392">
        <w:rPr>
          <w:rFonts w:ascii="Verdana" w:eastAsia="Arial" w:hAnsi="Verdana"/>
          <w:sz w:val="18"/>
          <w:szCs w:val="18"/>
        </w:rPr>
        <w:t xml:space="preserve"> v průběhu roku 2025. Vzhledem k termínu jejího dokončení představoval rok 2025 pouze částečný rok provozu; prvním celým kalendářním rokem jejího provozu bude rok 2026.</w:t>
      </w:r>
    </w:p>
    <w:p w14:paraId="2B72F2F0" w14:textId="77777777" w:rsidR="001A1392" w:rsidRPr="001A1392" w:rsidRDefault="001A1392" w:rsidP="001A1392">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lastRenderedPageBreak/>
        <w:t xml:space="preserve">Při celoročním provozu odpovídá instalovaný výkon předpokládané výrobě přibližně 95–100 </w:t>
      </w:r>
      <w:proofErr w:type="spellStart"/>
      <w:r w:rsidRPr="001A1392">
        <w:rPr>
          <w:rFonts w:ascii="Verdana" w:eastAsia="Arial" w:hAnsi="Verdana"/>
          <w:sz w:val="18"/>
          <w:szCs w:val="18"/>
        </w:rPr>
        <w:t>MWh</w:t>
      </w:r>
      <w:proofErr w:type="spellEnd"/>
      <w:r w:rsidRPr="001A1392">
        <w:rPr>
          <w:rFonts w:ascii="Verdana" w:eastAsia="Arial" w:hAnsi="Verdana"/>
          <w:sz w:val="18"/>
          <w:szCs w:val="18"/>
        </w:rPr>
        <w:t xml:space="preserve"> elektřiny ročně. Vlastní výroba elektřiny umožňuje snižovat množství elektřiny odebírané z distribuční sítě a přispívá ke snižování nepřímých emisí spojených s provozem společnosti.</w:t>
      </w:r>
    </w:p>
    <w:p w14:paraId="73DE9CAD" w14:textId="77777777" w:rsidR="001A1392" w:rsidRPr="001A1392" w:rsidRDefault="001A1392" w:rsidP="001A1392">
      <w:pPr>
        <w:pStyle w:val="Nadpis3"/>
        <w:rPr>
          <w:rFonts w:ascii="Verdana" w:hAnsi="Verdana"/>
          <w:sz w:val="18"/>
          <w:szCs w:val="18"/>
        </w:rPr>
      </w:pPr>
      <w:r w:rsidRPr="001A1392">
        <w:rPr>
          <w:rFonts w:ascii="Verdana" w:hAnsi="Verdana"/>
          <w:sz w:val="18"/>
          <w:szCs w:val="18"/>
        </w:rPr>
        <w:t>Další směřování v oblasti snižování emisí</w:t>
      </w:r>
    </w:p>
    <w:p w14:paraId="3E2DA198" w14:textId="77777777" w:rsidR="001A1392" w:rsidRPr="001A1392" w:rsidRDefault="001A1392" w:rsidP="001A1392">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Výpočet uhlíkové stopy za rok 2025 představuje výchozí základ pro další řízení emisí společnosti. Umožňuje nám identifikovat hlavní zdroje emisí, sledovat jejich vývoj v čase a vyhodnocovat účinnost jednotlivých opatření.</w:t>
      </w:r>
    </w:p>
    <w:p w14:paraId="779D0AB9" w14:textId="77777777" w:rsidR="001A1392" w:rsidRPr="001A1392" w:rsidRDefault="001A1392" w:rsidP="001A1392">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V návaznosti na výsledky výpočtu jsme identifikovali zejména následující směry dalšího snižování emisí:</w:t>
      </w:r>
    </w:p>
    <w:p w14:paraId="5EB1587C" w14:textId="77777777" w:rsidR="001A1392" w:rsidRPr="001A1392" w:rsidRDefault="001A1392" w:rsidP="001A1392">
      <w:pPr>
        <w:pStyle w:val="Odstavecseseznamem"/>
        <w:numPr>
          <w:ilvl w:val="0"/>
          <w:numId w:val="10"/>
        </w:num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další využívání vlastní výroby elektřiny z fotovoltaiky a posouzení možností jejího rozšíření,</w:t>
      </w:r>
    </w:p>
    <w:p w14:paraId="549C81DC" w14:textId="77777777" w:rsidR="001A1392" w:rsidRPr="001A1392" w:rsidRDefault="001A1392" w:rsidP="001A1392">
      <w:pPr>
        <w:pStyle w:val="Odstavecseseznamem"/>
        <w:numPr>
          <w:ilvl w:val="0"/>
          <w:numId w:val="10"/>
        </w:num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zvyšování energetické účinnosti provozoven,</w:t>
      </w:r>
    </w:p>
    <w:p w14:paraId="132EB595" w14:textId="77777777" w:rsidR="001A1392" w:rsidRPr="001A1392" w:rsidRDefault="001A1392" w:rsidP="001A1392">
      <w:pPr>
        <w:pStyle w:val="Odstavecseseznamem"/>
        <w:numPr>
          <w:ilvl w:val="0"/>
          <w:numId w:val="10"/>
        </w:num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postupnou elektrifikaci firemního vozového parku a snižování spotřeby fosilních pohonných hmot,</w:t>
      </w:r>
    </w:p>
    <w:p w14:paraId="01F8D4BF" w14:textId="77777777" w:rsidR="001A1392" w:rsidRPr="001A1392" w:rsidRDefault="001A1392" w:rsidP="001A1392">
      <w:pPr>
        <w:pStyle w:val="Odstavecseseznamem"/>
        <w:numPr>
          <w:ilvl w:val="0"/>
          <w:numId w:val="10"/>
        </w:num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posouzení možností nákupu elektřiny s doloženým původem z obnovitelných nebo jiných nízkoemisních zdrojů,</w:t>
      </w:r>
    </w:p>
    <w:p w14:paraId="42065F08" w14:textId="77777777" w:rsidR="001A1392" w:rsidRPr="001A1392" w:rsidRDefault="001A1392" w:rsidP="001A1392">
      <w:pPr>
        <w:pStyle w:val="Odstavecseseznamem"/>
        <w:numPr>
          <w:ilvl w:val="0"/>
          <w:numId w:val="10"/>
        </w:num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průběžné sledování spotřeby energií, pohonných hmot a souvisejících emisí.</w:t>
      </w:r>
    </w:p>
    <w:p w14:paraId="09787FDE" w14:textId="77777777" w:rsidR="001A1392" w:rsidRPr="001A1392" w:rsidRDefault="001A1392" w:rsidP="001A1392">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K 31. 12. 2025 společnost neměla stanoven vlastní kvantifikovaný cíl snižování emisí skleníkových plynů ve smyslu požadavku C3 VSME. Výpočet uhlíkové stopy za rok 2025 proto slouží jako výchozí hodnota pro další řízení emisí a případné budoucí stanovení měřitelného klimatického cíle.</w:t>
      </w:r>
    </w:p>
    <w:p w14:paraId="6ECE167A" w14:textId="77777777" w:rsidR="001A1392" w:rsidRDefault="001A1392" w:rsidP="001A1392">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Naším cílem je postupovat na základě skutečných a měřitelných dat a přijímat taková opatření, která odpovídají charakteru našeho podnikání, technickým možnostem jednotlivých provozoven a dlouhodobému směřování společnosti.</w:t>
      </w:r>
    </w:p>
    <w:p w14:paraId="423E2A17" w14:textId="77777777" w:rsidR="001A1392" w:rsidRPr="001A1392" w:rsidRDefault="001A1392" w:rsidP="001A1392">
      <w:pPr>
        <w:pBdr>
          <w:top w:val="nil"/>
          <w:left w:val="nil"/>
          <w:bottom w:val="nil"/>
          <w:right w:val="nil"/>
          <w:between w:val="nil"/>
        </w:pBdr>
        <w:jc w:val="both"/>
        <w:rPr>
          <w:rFonts w:ascii="Verdana" w:eastAsia="Arial" w:hAnsi="Verdana"/>
          <w:sz w:val="18"/>
          <w:szCs w:val="18"/>
        </w:rPr>
      </w:pPr>
    </w:p>
    <w:p w14:paraId="00E2FB01" w14:textId="77777777" w:rsidR="00925999" w:rsidRPr="001A1392" w:rsidRDefault="00000000">
      <w:pPr>
        <w:jc w:val="both"/>
        <w:rPr>
          <w:rFonts w:ascii="Verdana" w:eastAsia="Arial" w:hAnsi="Verdana"/>
          <w:b/>
          <w:bCs/>
          <w:sz w:val="18"/>
          <w:szCs w:val="18"/>
        </w:rPr>
      </w:pPr>
      <w:r w:rsidRPr="001A1392">
        <w:rPr>
          <w:rFonts w:ascii="Verdana" w:eastAsia="Arial" w:hAnsi="Verdana"/>
          <w:b/>
          <w:bCs/>
          <w:sz w:val="18"/>
          <w:szCs w:val="18"/>
        </w:rPr>
        <w:t>B6 – Spotřeba vody a nakládání s ní</w:t>
      </w:r>
    </w:p>
    <w:p w14:paraId="1EC3F92E" w14:textId="77777777" w:rsidR="00925999" w:rsidRPr="001A1392" w:rsidRDefault="00000000">
      <w:pPr>
        <w:spacing w:before="240" w:after="240"/>
        <w:jc w:val="both"/>
        <w:rPr>
          <w:rFonts w:ascii="Verdana" w:eastAsia="Arial" w:hAnsi="Verdana"/>
          <w:sz w:val="18"/>
          <w:szCs w:val="18"/>
        </w:rPr>
      </w:pPr>
      <w:r w:rsidRPr="001A1392">
        <w:rPr>
          <w:rFonts w:ascii="Verdana" w:eastAsia="Arial" w:hAnsi="Verdana"/>
          <w:sz w:val="18"/>
          <w:szCs w:val="18"/>
        </w:rPr>
        <w:t>Odpovědné nakládání s vodními zdroji považujeme za důležitou součást udržitelného provozu našich prodejních a servisních center. Zaměřujeme se především na snižování spotřeby čerstvé vody a na její opětovné využití tam, kde je to technicky možné.</w:t>
      </w:r>
    </w:p>
    <w:p w14:paraId="5F3B2CCE" w14:textId="77777777" w:rsidR="00925999" w:rsidRPr="001A1392" w:rsidRDefault="00000000">
      <w:pPr>
        <w:spacing w:before="240" w:after="240"/>
        <w:jc w:val="both"/>
        <w:rPr>
          <w:rFonts w:ascii="Verdana" w:eastAsia="Arial" w:hAnsi="Verdana"/>
          <w:sz w:val="18"/>
          <w:szCs w:val="18"/>
        </w:rPr>
      </w:pPr>
      <w:r w:rsidRPr="001A1392">
        <w:rPr>
          <w:rFonts w:ascii="Verdana" w:eastAsia="Arial" w:hAnsi="Verdana"/>
          <w:sz w:val="18"/>
          <w:szCs w:val="18"/>
        </w:rPr>
        <w:t>Na pobočce v Zápech provozujeme myčku vozidel s technologií recyklace vody, která přispívá k omezení spotřeby čerstvé vody. Po rekonstrukci showroomu v Liberci v roce 2025 bylo stejné řešení zavedeno také v této lokalitě.</w:t>
      </w:r>
    </w:p>
    <w:p w14:paraId="7C32D108" w14:textId="77777777" w:rsidR="00925999" w:rsidRPr="001A1392" w:rsidRDefault="00000000">
      <w:pPr>
        <w:spacing w:before="240" w:after="240"/>
        <w:jc w:val="both"/>
        <w:rPr>
          <w:rFonts w:ascii="Verdana" w:eastAsia="Verdana" w:hAnsi="Verdana"/>
          <w:color w:val="205A24"/>
          <w:sz w:val="15"/>
          <w:szCs w:val="15"/>
        </w:rPr>
      </w:pPr>
      <w:r w:rsidRPr="001A1392">
        <w:rPr>
          <w:rFonts w:ascii="Verdana" w:eastAsia="Arial" w:hAnsi="Verdana"/>
          <w:sz w:val="18"/>
          <w:szCs w:val="18"/>
        </w:rPr>
        <w:t>K péči o okolí našich provozů přispívají také terénní úpravy a výsadba zeleně. Na pobočce v Zápech jsme realizovali výsadbu stromů a keřů s cílem zlepšit místní mikroklima a estetickou hodnotu areálu. Obdobná opatření realizujeme také v Liberci.</w:t>
      </w:r>
    </w:p>
    <w:p w14:paraId="448A219B" w14:textId="77777777" w:rsidR="00925999" w:rsidRPr="001A1392" w:rsidRDefault="00000000">
      <w:pPr>
        <w:spacing w:before="240" w:after="240"/>
        <w:jc w:val="both"/>
        <w:rPr>
          <w:rFonts w:ascii="Verdana" w:eastAsia="Arial" w:hAnsi="Verdana"/>
          <w:sz w:val="18"/>
          <w:szCs w:val="18"/>
        </w:rPr>
      </w:pPr>
      <w:r w:rsidRPr="001A1392">
        <w:rPr>
          <w:rFonts w:ascii="Verdana" w:eastAsia="Arial" w:hAnsi="Verdana"/>
          <w:sz w:val="18"/>
          <w:szCs w:val="18"/>
        </w:rPr>
        <w:t>Spotřeba vody v Zápech za rok 2025 činila 1 514 m³ a v Liberci 863 m³. Celkové množství vody odebrané ve všech lokalitách společnosti tak v roce 2025 dosáhlo 2 377 m³, zatímco v roce 2024 činilo 3 356 m³.</w:t>
      </w:r>
    </w:p>
    <w:p w14:paraId="02382156" w14:textId="77777777" w:rsidR="00925999" w:rsidRPr="001A1392" w:rsidRDefault="00000000">
      <w:pPr>
        <w:pBdr>
          <w:top w:val="nil"/>
          <w:left w:val="nil"/>
          <w:bottom w:val="nil"/>
          <w:right w:val="nil"/>
          <w:between w:val="nil"/>
        </w:pBdr>
        <w:jc w:val="both"/>
        <w:rPr>
          <w:rFonts w:ascii="Verdana" w:eastAsia="Arial" w:hAnsi="Verdana"/>
          <w:b/>
          <w:bCs/>
          <w:color w:val="000000"/>
          <w:sz w:val="18"/>
          <w:szCs w:val="18"/>
        </w:rPr>
      </w:pPr>
      <w:r w:rsidRPr="001A1392">
        <w:rPr>
          <w:rFonts w:ascii="Verdana" w:eastAsia="Arial" w:hAnsi="Verdana"/>
          <w:b/>
          <w:bCs/>
          <w:sz w:val="18"/>
          <w:szCs w:val="18"/>
        </w:rPr>
        <w:t>B7 – Nakládání s odpady a principy oběhového hospodářství</w:t>
      </w:r>
    </w:p>
    <w:p w14:paraId="0D466A19" w14:textId="77777777" w:rsidR="00925999" w:rsidRDefault="00000000">
      <w:pPr>
        <w:spacing w:before="240" w:after="240"/>
        <w:jc w:val="both"/>
        <w:rPr>
          <w:rFonts w:ascii="Verdana" w:eastAsia="Arial" w:hAnsi="Verdana"/>
          <w:sz w:val="18"/>
          <w:szCs w:val="18"/>
        </w:rPr>
      </w:pPr>
      <w:r w:rsidRPr="001A1392">
        <w:rPr>
          <w:rFonts w:ascii="Verdana" w:eastAsia="Arial" w:hAnsi="Verdana"/>
          <w:sz w:val="18"/>
          <w:szCs w:val="18"/>
        </w:rPr>
        <w:t>Ve všech prodejních a servisních provozech klademe důraz na odpovědné nakládání s odpady a efektivní využívání zdrojů. Odpady třídíme podle jednotlivých druhů, včetně papíru, plastů, skla, kovů, komunálního a nebezpečného odpadu vznikajícího při servisní činnosti. Odborné nakládání s odpady zajišťujeme ve spolupráci se společností AVE CZ odpadové hospodářství s.r.o. Současně zavádíme opatření zaměřená na předcházení vzniku odpadu, například omezení spotřeby obalových materiálů a optimalizaci provozních procesů. Konkrétní rozložení odpadů za rok 2025 pro pobočky Liberec a Zápy je uvedeno v Příloze č. 1.</w:t>
      </w:r>
    </w:p>
    <w:p w14:paraId="17A336A7" w14:textId="77777777" w:rsidR="001A1392" w:rsidRPr="001A1392" w:rsidRDefault="001A1392">
      <w:pPr>
        <w:spacing w:before="240" w:after="240"/>
        <w:jc w:val="both"/>
        <w:rPr>
          <w:rFonts w:ascii="Verdana" w:eastAsia="Arial" w:hAnsi="Verdana"/>
          <w:color w:val="EE0000"/>
          <w:sz w:val="18"/>
          <w:szCs w:val="18"/>
        </w:rPr>
      </w:pPr>
    </w:p>
    <w:p w14:paraId="61610424" w14:textId="77777777" w:rsidR="00925999" w:rsidRPr="001A1392" w:rsidRDefault="00000000" w:rsidP="001A1392">
      <w:pPr>
        <w:numPr>
          <w:ilvl w:val="0"/>
          <w:numId w:val="3"/>
        </w:numPr>
        <w:pBdr>
          <w:top w:val="nil"/>
          <w:left w:val="nil"/>
          <w:bottom w:val="nil"/>
          <w:right w:val="nil"/>
          <w:between w:val="nil"/>
        </w:pBdr>
        <w:spacing w:after="0"/>
        <w:jc w:val="both"/>
        <w:rPr>
          <w:rFonts w:ascii="Verdana" w:eastAsia="Arial" w:hAnsi="Verdana"/>
          <w:b/>
          <w:bCs/>
          <w:color w:val="000000"/>
          <w:sz w:val="20"/>
          <w:szCs w:val="20"/>
        </w:rPr>
      </w:pPr>
      <w:r w:rsidRPr="001A1392">
        <w:rPr>
          <w:rFonts w:ascii="Verdana" w:eastAsia="Arial" w:hAnsi="Verdana"/>
          <w:b/>
          <w:bCs/>
          <w:color w:val="000000"/>
          <w:sz w:val="20"/>
          <w:szCs w:val="20"/>
        </w:rPr>
        <w:lastRenderedPageBreak/>
        <w:t>Sociální standardy</w:t>
      </w:r>
    </w:p>
    <w:p w14:paraId="61E8C8B8" w14:textId="77777777" w:rsidR="00925999" w:rsidRPr="001A1392" w:rsidRDefault="00925999">
      <w:pPr>
        <w:pBdr>
          <w:top w:val="nil"/>
          <w:left w:val="nil"/>
          <w:bottom w:val="nil"/>
          <w:right w:val="nil"/>
          <w:between w:val="nil"/>
        </w:pBdr>
        <w:spacing w:after="0"/>
        <w:ind w:left="360"/>
        <w:jc w:val="both"/>
        <w:rPr>
          <w:rFonts w:ascii="Verdana" w:eastAsia="Arial" w:hAnsi="Verdana"/>
          <w:b/>
          <w:bCs/>
          <w:color w:val="000000"/>
          <w:sz w:val="18"/>
          <w:szCs w:val="18"/>
        </w:rPr>
      </w:pPr>
    </w:p>
    <w:p w14:paraId="3A692D69" w14:textId="77777777" w:rsidR="00925999" w:rsidRPr="001A1392" w:rsidRDefault="00000000">
      <w:pPr>
        <w:pBdr>
          <w:top w:val="nil"/>
          <w:left w:val="nil"/>
          <w:bottom w:val="nil"/>
          <w:right w:val="nil"/>
          <w:between w:val="nil"/>
        </w:pBdr>
        <w:jc w:val="both"/>
        <w:rPr>
          <w:rFonts w:ascii="Verdana" w:eastAsia="Arial" w:hAnsi="Verdana"/>
          <w:b/>
          <w:bCs/>
          <w:color w:val="000000"/>
          <w:sz w:val="18"/>
          <w:szCs w:val="18"/>
        </w:rPr>
      </w:pPr>
      <w:r w:rsidRPr="001A1392">
        <w:rPr>
          <w:rFonts w:ascii="Verdana" w:eastAsia="Arial" w:hAnsi="Verdana"/>
          <w:b/>
          <w:bCs/>
          <w:sz w:val="18"/>
          <w:szCs w:val="18"/>
        </w:rPr>
        <w:t>B8 Charakteristika zaměstnanců (úvazky, pohlaví, země)</w:t>
      </w:r>
    </w:p>
    <w:p w14:paraId="6FFFE491" w14:textId="77777777" w:rsidR="00925999" w:rsidRPr="001A1392" w:rsidRDefault="00000000">
      <w:pPr>
        <w:spacing w:before="240" w:after="240"/>
        <w:jc w:val="both"/>
        <w:rPr>
          <w:rFonts w:ascii="Verdana" w:eastAsia="Arial" w:hAnsi="Verdana"/>
          <w:sz w:val="18"/>
          <w:szCs w:val="18"/>
        </w:rPr>
      </w:pPr>
      <w:r w:rsidRPr="001A1392">
        <w:rPr>
          <w:rFonts w:ascii="Verdana" w:eastAsia="Arial" w:hAnsi="Verdana"/>
          <w:sz w:val="18"/>
          <w:szCs w:val="18"/>
        </w:rPr>
        <w:t>Podporujeme rovné příležitosti a pracovní prostředí, ve kterém mohou zaměstnanci rozvíjet svůj potenciál bez ohledu na pohlaví, věk nebo původ. K 31. 12. 2025 u nás pracovalo celkem 181 zaměstnanců, z toho 151 na dobu neurčitou a 30 na dobu určitou. Z hlediska genderového složení tvořilo tým 29 žen a 152 mužů. Naším cílem je vytvářet férové pracovní podmínky a podporovat dlouhodobou stabilitu pracovních vztahů.</w:t>
      </w:r>
    </w:p>
    <w:p w14:paraId="46F07D32" w14:textId="77777777" w:rsidR="00925999" w:rsidRPr="001A1392" w:rsidRDefault="00000000">
      <w:pPr>
        <w:pBdr>
          <w:top w:val="nil"/>
          <w:left w:val="nil"/>
          <w:bottom w:val="nil"/>
          <w:right w:val="nil"/>
          <w:between w:val="nil"/>
        </w:pBdr>
        <w:jc w:val="both"/>
        <w:rPr>
          <w:rFonts w:ascii="Verdana" w:eastAsia="Arial" w:hAnsi="Verdana"/>
          <w:b/>
          <w:bCs/>
          <w:sz w:val="18"/>
          <w:szCs w:val="18"/>
        </w:rPr>
      </w:pPr>
      <w:r w:rsidRPr="001A1392">
        <w:rPr>
          <w:rFonts w:ascii="Verdana" w:eastAsia="Arial" w:hAnsi="Verdana"/>
          <w:b/>
          <w:bCs/>
          <w:sz w:val="18"/>
          <w:szCs w:val="18"/>
        </w:rPr>
        <w:t>B9 Zdraví a bezpečnost, úrazy, úmrtnosti</w:t>
      </w:r>
    </w:p>
    <w:p w14:paraId="78291A34" w14:textId="77777777" w:rsidR="00925999" w:rsidRPr="001A1392" w:rsidRDefault="00000000">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V oblasti bezpečnosti a ochrany zdraví při práci se zaměřujeme na prevenci rizik, vytváření bezpečných pracovních podmínek a pravidelné vzdělávání zaměstnanců. Dbáme na bezpečné používání strojů a materiálů, odpovídající proškolení a způsobilost zaměstnanců a možnost otevřeně konzultovat otázky související s bezpečností práce. Systém řízení BOZP pravidelně vyhodnocujeme a zlepšujeme.</w:t>
      </w:r>
    </w:p>
    <w:p w14:paraId="5BDF4808" w14:textId="77777777" w:rsidR="00925999" w:rsidRPr="001A1392" w:rsidRDefault="00000000">
      <w:pPr>
        <w:pBdr>
          <w:top w:val="nil"/>
          <w:left w:val="nil"/>
          <w:bottom w:val="nil"/>
          <w:right w:val="nil"/>
          <w:between w:val="nil"/>
        </w:pBdr>
        <w:jc w:val="both"/>
        <w:rPr>
          <w:rFonts w:ascii="Verdana" w:eastAsia="Arial" w:hAnsi="Verdana"/>
          <w:b/>
          <w:bCs/>
          <w:sz w:val="18"/>
          <w:szCs w:val="18"/>
        </w:rPr>
      </w:pPr>
      <w:r w:rsidRPr="001A1392">
        <w:rPr>
          <w:rFonts w:ascii="Verdana" w:eastAsia="Arial" w:hAnsi="Verdana"/>
          <w:sz w:val="18"/>
          <w:szCs w:val="18"/>
        </w:rPr>
        <w:t>V roce 2025 jsme evidovali 7 pracovních úrazů a žádné úmrtí v souvislosti s výkonem práce.</w:t>
      </w:r>
    </w:p>
    <w:p w14:paraId="1FDB4096" w14:textId="77777777" w:rsidR="00925999" w:rsidRPr="001A1392" w:rsidRDefault="00000000">
      <w:pPr>
        <w:pBdr>
          <w:top w:val="nil"/>
          <w:left w:val="nil"/>
          <w:bottom w:val="nil"/>
          <w:right w:val="nil"/>
          <w:between w:val="nil"/>
        </w:pBdr>
        <w:jc w:val="both"/>
        <w:rPr>
          <w:rFonts w:ascii="Verdana" w:eastAsia="Arial" w:hAnsi="Verdana"/>
          <w:b/>
          <w:bCs/>
          <w:sz w:val="18"/>
          <w:szCs w:val="18"/>
        </w:rPr>
      </w:pPr>
      <w:r w:rsidRPr="001A1392">
        <w:rPr>
          <w:rFonts w:ascii="Verdana" w:eastAsia="Arial" w:hAnsi="Verdana"/>
          <w:b/>
          <w:bCs/>
          <w:sz w:val="18"/>
          <w:szCs w:val="18"/>
        </w:rPr>
        <w:t>B10 Odměňování, kolektivní vyjednávání, školení</w:t>
      </w:r>
    </w:p>
    <w:p w14:paraId="53D85490" w14:textId="77777777" w:rsidR="00925999" w:rsidRPr="001A1392" w:rsidRDefault="00000000">
      <w:pPr>
        <w:spacing w:before="240" w:after="240"/>
        <w:jc w:val="both"/>
        <w:rPr>
          <w:rFonts w:ascii="Verdana" w:eastAsia="Arial" w:hAnsi="Verdana"/>
          <w:sz w:val="18"/>
          <w:szCs w:val="18"/>
        </w:rPr>
      </w:pPr>
      <w:r w:rsidRPr="001A1392">
        <w:rPr>
          <w:rFonts w:ascii="Verdana" w:eastAsia="Arial" w:hAnsi="Verdana"/>
          <w:sz w:val="18"/>
          <w:szCs w:val="18"/>
        </w:rPr>
        <w:t>Aktivně se připravujeme na požadavky směrnice o transparentním odměňování a budoucí reporting za rok 2026. Naším cílem je podporovat rovné podmínky a spravedlivé odměňování zaměstnanců bez ohledu na pohlaví. Mzdové struktury nastavujeme s důrazem na přehlednost a srozumitelnost a pravidelně je kontrolujeme z pohledu principů spravedlivého odměňování.</w:t>
      </w:r>
    </w:p>
    <w:p w14:paraId="2D30FB5F" w14:textId="77777777" w:rsidR="00925999" w:rsidRPr="001A1392" w:rsidRDefault="00000000">
      <w:pPr>
        <w:spacing w:before="240" w:after="240"/>
        <w:jc w:val="both"/>
        <w:rPr>
          <w:rFonts w:ascii="Verdana" w:eastAsia="Arial" w:hAnsi="Verdana"/>
          <w:sz w:val="18"/>
          <w:szCs w:val="18"/>
        </w:rPr>
      </w:pPr>
      <w:r w:rsidRPr="001A1392">
        <w:rPr>
          <w:rFonts w:ascii="Verdana" w:eastAsia="Arial" w:hAnsi="Verdana"/>
          <w:sz w:val="18"/>
          <w:szCs w:val="18"/>
        </w:rPr>
        <w:t>Zaměstnanci pravidelně absolvují školení organizovaná jak společností Mercedes-Benz, tak interně. Zaměřují se na kvalitu služeb, odborné dovednosti a férový přístup k zákazníkům. Součástí rozvoje zaměstnanců je také výuka cizích jazyků. V roce 2025 činil průměrný počet hodin školení na jednoho zaměstnance 19,7 hodiny.</w:t>
      </w:r>
    </w:p>
    <w:p w14:paraId="4B2823EF" w14:textId="77777777" w:rsidR="00925999" w:rsidRPr="001A1392" w:rsidRDefault="00000000">
      <w:pPr>
        <w:spacing w:before="240" w:after="240"/>
        <w:jc w:val="both"/>
        <w:rPr>
          <w:rFonts w:ascii="Verdana" w:eastAsia="Arial" w:hAnsi="Verdana"/>
          <w:sz w:val="18"/>
          <w:szCs w:val="18"/>
          <w:highlight w:val="yellow"/>
        </w:rPr>
      </w:pPr>
      <w:r w:rsidRPr="001A1392">
        <w:rPr>
          <w:rFonts w:ascii="Verdana" w:eastAsia="Arial" w:hAnsi="Verdana"/>
          <w:sz w:val="18"/>
          <w:szCs w:val="18"/>
        </w:rPr>
        <w:t>Ve společnosti neprobíhá kolektivní vyjednávání. Podporujeme však otevřenou komunikaci a zpětnou vazbu zaměstnanců. Od roku 2023 je zavedena Etická linka pro whistleblowing, kterou mohou využít zaměstnanci i další zainteresované strany k oznámení případných problémů nebo obav. V roce 2025 jsme prostřednictvím této linky neobdrželi žádný podnět.</w:t>
      </w:r>
    </w:p>
    <w:p w14:paraId="5DF7590C" w14:textId="77777777" w:rsidR="00925999" w:rsidRPr="001A1392" w:rsidRDefault="00000000" w:rsidP="001A1392">
      <w:pPr>
        <w:numPr>
          <w:ilvl w:val="0"/>
          <w:numId w:val="3"/>
        </w:numPr>
        <w:pBdr>
          <w:top w:val="nil"/>
          <w:left w:val="nil"/>
          <w:bottom w:val="nil"/>
          <w:right w:val="nil"/>
          <w:between w:val="nil"/>
        </w:pBdr>
        <w:spacing w:after="0"/>
        <w:jc w:val="both"/>
        <w:rPr>
          <w:rFonts w:ascii="Verdana" w:eastAsia="Arial" w:hAnsi="Verdana"/>
          <w:b/>
          <w:bCs/>
          <w:color w:val="000000"/>
          <w:sz w:val="20"/>
          <w:szCs w:val="20"/>
        </w:rPr>
      </w:pPr>
      <w:r w:rsidRPr="001A1392">
        <w:rPr>
          <w:rFonts w:ascii="Verdana" w:eastAsia="Arial" w:hAnsi="Verdana"/>
          <w:b/>
          <w:bCs/>
          <w:color w:val="000000"/>
          <w:sz w:val="20"/>
          <w:szCs w:val="20"/>
        </w:rPr>
        <w:t>S</w:t>
      </w:r>
      <w:r w:rsidRPr="001A1392">
        <w:rPr>
          <w:rFonts w:ascii="Verdana" w:eastAsia="Arial" w:hAnsi="Verdana"/>
          <w:b/>
          <w:bCs/>
          <w:sz w:val="20"/>
          <w:szCs w:val="20"/>
        </w:rPr>
        <w:t>práva a řízení společnosti</w:t>
      </w:r>
    </w:p>
    <w:p w14:paraId="751FF74D" w14:textId="77777777" w:rsidR="00925999" w:rsidRPr="001A1392" w:rsidRDefault="00925999">
      <w:pPr>
        <w:pBdr>
          <w:top w:val="nil"/>
          <w:left w:val="nil"/>
          <w:bottom w:val="nil"/>
          <w:right w:val="nil"/>
          <w:between w:val="nil"/>
        </w:pBdr>
        <w:spacing w:after="0"/>
        <w:ind w:left="360"/>
        <w:jc w:val="both"/>
        <w:rPr>
          <w:rFonts w:ascii="Verdana" w:eastAsia="Arial" w:hAnsi="Verdana"/>
          <w:b/>
          <w:bCs/>
          <w:color w:val="000000"/>
          <w:sz w:val="18"/>
          <w:szCs w:val="18"/>
        </w:rPr>
      </w:pPr>
    </w:p>
    <w:p w14:paraId="665F2BEC" w14:textId="77777777" w:rsidR="00925999" w:rsidRPr="001A1392" w:rsidRDefault="00000000">
      <w:pPr>
        <w:pBdr>
          <w:top w:val="nil"/>
          <w:left w:val="nil"/>
          <w:bottom w:val="nil"/>
          <w:right w:val="nil"/>
          <w:between w:val="nil"/>
        </w:pBdr>
        <w:jc w:val="both"/>
        <w:rPr>
          <w:rFonts w:ascii="Verdana" w:eastAsia="Arial" w:hAnsi="Verdana"/>
          <w:b/>
          <w:bCs/>
          <w:color w:val="000000"/>
          <w:sz w:val="18"/>
          <w:szCs w:val="18"/>
        </w:rPr>
      </w:pPr>
      <w:r w:rsidRPr="001A1392">
        <w:rPr>
          <w:rFonts w:ascii="Verdana" w:eastAsia="Arial" w:hAnsi="Verdana"/>
          <w:sz w:val="18"/>
          <w:szCs w:val="18"/>
        </w:rPr>
        <w:t>Ve společnosti je zaveden systém managementu kvality a související řídicí procesy, které podporují systematické řízení společnosti a průběžné zlepšování.</w:t>
      </w:r>
    </w:p>
    <w:p w14:paraId="6C24EC9A" w14:textId="77777777" w:rsidR="00925999" w:rsidRPr="001A1392" w:rsidRDefault="00000000">
      <w:pPr>
        <w:pBdr>
          <w:top w:val="nil"/>
          <w:left w:val="nil"/>
          <w:bottom w:val="nil"/>
          <w:right w:val="nil"/>
          <w:between w:val="nil"/>
        </w:pBdr>
        <w:jc w:val="both"/>
        <w:rPr>
          <w:rFonts w:ascii="Verdana" w:eastAsia="Arial" w:hAnsi="Verdana"/>
          <w:b/>
          <w:bCs/>
          <w:color w:val="000000"/>
          <w:sz w:val="18"/>
          <w:szCs w:val="18"/>
        </w:rPr>
      </w:pPr>
      <w:r w:rsidRPr="001A1392">
        <w:rPr>
          <w:rFonts w:ascii="Verdana" w:eastAsia="Arial" w:hAnsi="Verdana"/>
          <w:b/>
          <w:bCs/>
          <w:sz w:val="18"/>
          <w:szCs w:val="18"/>
        </w:rPr>
        <w:t xml:space="preserve">B11 – </w:t>
      </w:r>
      <w:proofErr w:type="gramStart"/>
      <w:r w:rsidRPr="001A1392">
        <w:rPr>
          <w:rFonts w:ascii="Verdana" w:eastAsia="Arial" w:hAnsi="Verdana"/>
          <w:b/>
          <w:bCs/>
          <w:sz w:val="18"/>
          <w:szCs w:val="18"/>
        </w:rPr>
        <w:t>Korupce - počet</w:t>
      </w:r>
      <w:proofErr w:type="gramEnd"/>
      <w:r w:rsidRPr="001A1392">
        <w:rPr>
          <w:rFonts w:ascii="Verdana" w:eastAsia="Arial" w:hAnsi="Verdana"/>
          <w:b/>
          <w:bCs/>
          <w:sz w:val="18"/>
          <w:szCs w:val="18"/>
        </w:rPr>
        <w:t xml:space="preserve"> usvědčení a výše pokut</w:t>
      </w:r>
    </w:p>
    <w:p w14:paraId="5F95B10D" w14:textId="77777777" w:rsidR="00E509F8" w:rsidRPr="001A1392" w:rsidRDefault="00000000">
      <w:pPr>
        <w:rPr>
          <w:rFonts w:ascii="Verdana" w:hAnsi="Verdana"/>
          <w:sz w:val="18"/>
          <w:szCs w:val="18"/>
        </w:rPr>
      </w:pPr>
      <w:r w:rsidRPr="001A1392">
        <w:rPr>
          <w:rFonts w:ascii="Verdana" w:hAnsi="Verdana"/>
          <w:sz w:val="18"/>
          <w:szCs w:val="18"/>
        </w:rPr>
        <w:t>V roce 2025 nebylo evidováno žádné pravomocné odsouzení společnosti za korupci nebo úplatkářství a nebyly uloženy žádné související pokuty.</w:t>
      </w:r>
    </w:p>
    <w:p w14:paraId="0CB62926" w14:textId="77777777" w:rsidR="00925999" w:rsidRPr="001A1392" w:rsidRDefault="00000000">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Uplatňujeme nulovou toleranci vůči korupci, úplatkářství a jinému neetickému jednání. Jednáme transparentně a v souladu se zákonem a věnujeme pozornost rizikům korupčního jednání ve vlastním provozu i ve vztazích se spolupracujícími partnery. Zaměstnanci mají k dispozici Etickou linku (whistleblowing) umožňující anonymní oznámení podezření a společnost zajišťuje ochranu oznamovatelů.</w:t>
      </w:r>
    </w:p>
    <w:p w14:paraId="43556016" w14:textId="77777777" w:rsidR="00925999" w:rsidRPr="001A1392" w:rsidRDefault="00000000">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Nad fungováním systému dohlíží jednatel společnosti a personalistka Petra Peloušková, která odpovídá přímo vedení společnosti. Nastavené mechanismy jsou pravidelně přezkoumávány a dále rozvíjeny s cílem podporovat soulad s požadavky a posilovat firemní integritu.</w:t>
      </w:r>
    </w:p>
    <w:p w14:paraId="3D53F832" w14:textId="77777777" w:rsidR="00925999" w:rsidRPr="001A1392" w:rsidRDefault="00000000">
      <w:pPr>
        <w:pBdr>
          <w:top w:val="nil"/>
          <w:left w:val="nil"/>
          <w:bottom w:val="nil"/>
          <w:right w:val="nil"/>
          <w:between w:val="nil"/>
        </w:pBdr>
        <w:jc w:val="both"/>
        <w:rPr>
          <w:rFonts w:ascii="Verdana" w:eastAsia="Arial" w:hAnsi="Verdana"/>
          <w:sz w:val="18"/>
          <w:szCs w:val="18"/>
        </w:rPr>
      </w:pPr>
      <w:r w:rsidRPr="001A1392">
        <w:rPr>
          <w:rFonts w:ascii="Verdana" w:eastAsia="Arial" w:hAnsi="Verdana"/>
          <w:sz w:val="18"/>
          <w:szCs w:val="18"/>
        </w:rPr>
        <w:t>Zaměstnanci jsou v oblasti prevence korupce pravidelně školeni. Tato témata jsou rovněž součástí úvodního školení při nástupu nových zaměstnanců.</w:t>
      </w:r>
    </w:p>
    <w:p w14:paraId="59656596" w14:textId="77777777" w:rsidR="00925999" w:rsidRPr="001A1392" w:rsidRDefault="00925999">
      <w:pPr>
        <w:jc w:val="both"/>
        <w:rPr>
          <w:rFonts w:ascii="Verdana" w:eastAsia="Arial" w:hAnsi="Verdana"/>
          <w:sz w:val="18"/>
          <w:szCs w:val="18"/>
        </w:rPr>
      </w:pPr>
    </w:p>
    <w:p w14:paraId="21F71A03" w14:textId="77777777" w:rsidR="00925999" w:rsidRPr="001A1392" w:rsidRDefault="00925999">
      <w:pPr>
        <w:jc w:val="both"/>
        <w:rPr>
          <w:rFonts w:ascii="Verdana" w:eastAsia="Arial" w:hAnsi="Verdana"/>
          <w:sz w:val="18"/>
          <w:szCs w:val="18"/>
        </w:rPr>
      </w:pPr>
    </w:p>
    <w:p w14:paraId="1FADBBDC" w14:textId="77777777" w:rsidR="00925999" w:rsidRPr="001A1392" w:rsidRDefault="00000000" w:rsidP="001A1392">
      <w:pPr>
        <w:numPr>
          <w:ilvl w:val="0"/>
          <w:numId w:val="3"/>
        </w:numPr>
        <w:pBdr>
          <w:top w:val="nil"/>
          <w:left w:val="nil"/>
          <w:bottom w:val="nil"/>
          <w:right w:val="nil"/>
          <w:between w:val="nil"/>
        </w:pBdr>
        <w:jc w:val="both"/>
        <w:rPr>
          <w:rFonts w:ascii="Verdana" w:eastAsia="Arial" w:hAnsi="Verdana"/>
          <w:b/>
          <w:bCs/>
          <w:color w:val="000000"/>
          <w:sz w:val="20"/>
          <w:szCs w:val="20"/>
        </w:rPr>
      </w:pPr>
      <w:r w:rsidRPr="001A1392">
        <w:rPr>
          <w:rFonts w:ascii="Verdana" w:eastAsia="Arial" w:hAnsi="Verdana"/>
          <w:b/>
          <w:bCs/>
          <w:color w:val="000000"/>
          <w:sz w:val="20"/>
          <w:szCs w:val="20"/>
        </w:rPr>
        <w:t>Výhled a budoucí závazky</w:t>
      </w:r>
    </w:p>
    <w:p w14:paraId="670CA76F" w14:textId="77777777" w:rsidR="00925999" w:rsidRPr="001A1392" w:rsidRDefault="00000000">
      <w:pPr>
        <w:spacing w:before="240" w:after="240"/>
        <w:jc w:val="both"/>
        <w:rPr>
          <w:rFonts w:ascii="Verdana" w:eastAsia="Arial" w:hAnsi="Verdana"/>
          <w:sz w:val="18"/>
          <w:szCs w:val="18"/>
        </w:rPr>
      </w:pPr>
      <w:r w:rsidRPr="001A1392">
        <w:rPr>
          <w:rFonts w:ascii="Verdana" w:eastAsia="Arial" w:hAnsi="Verdana"/>
          <w:sz w:val="18"/>
          <w:szCs w:val="18"/>
        </w:rPr>
        <w:t>V návaznosti na náš přístup k udržitelnosti postupně stanovujeme cíle založené na reálných datech a možnostech společnosti.</w:t>
      </w:r>
    </w:p>
    <w:p w14:paraId="6B803639" w14:textId="77777777" w:rsidR="00925999" w:rsidRPr="001A1392" w:rsidRDefault="00000000">
      <w:pPr>
        <w:spacing w:before="240" w:after="240"/>
        <w:jc w:val="both"/>
        <w:rPr>
          <w:rFonts w:ascii="Verdana" w:eastAsia="Arial" w:hAnsi="Verdana"/>
          <w:sz w:val="18"/>
          <w:szCs w:val="18"/>
        </w:rPr>
      </w:pPr>
      <w:r w:rsidRPr="001A1392">
        <w:rPr>
          <w:rFonts w:ascii="Verdana" w:eastAsia="Arial" w:hAnsi="Verdana"/>
          <w:sz w:val="18"/>
          <w:szCs w:val="18"/>
        </w:rPr>
        <w:t>V nadcházejícím období se zaměříme zejména na:</w:t>
      </w:r>
    </w:p>
    <w:p w14:paraId="30AD0DF0" w14:textId="77777777" w:rsidR="00925999" w:rsidRPr="001A1392" w:rsidRDefault="00000000">
      <w:pPr>
        <w:numPr>
          <w:ilvl w:val="0"/>
          <w:numId w:val="1"/>
        </w:numPr>
        <w:spacing w:before="240" w:after="0"/>
        <w:rPr>
          <w:rFonts w:ascii="Verdana" w:eastAsia="Arial" w:hAnsi="Verdana"/>
          <w:sz w:val="18"/>
          <w:szCs w:val="18"/>
        </w:rPr>
      </w:pPr>
      <w:r w:rsidRPr="001A1392">
        <w:rPr>
          <w:rFonts w:ascii="Verdana" w:eastAsia="Arial" w:hAnsi="Verdana"/>
          <w:sz w:val="18"/>
          <w:szCs w:val="18"/>
        </w:rPr>
        <w:t>využití výsledků výpočtu uhlíkové stopy společnosti za rok 2025 (Scope 1 a 2) k identifikaci hlavních zdrojů emisí a návrhu účinných opatření ke snižování dopadů na klima,</w:t>
      </w:r>
    </w:p>
    <w:p w14:paraId="79FC72F2" w14:textId="77777777" w:rsidR="00925999" w:rsidRPr="001A1392" w:rsidRDefault="00000000">
      <w:pPr>
        <w:numPr>
          <w:ilvl w:val="0"/>
          <w:numId w:val="1"/>
        </w:numPr>
        <w:spacing w:after="0"/>
        <w:rPr>
          <w:rFonts w:ascii="Verdana" w:eastAsia="Arial" w:hAnsi="Verdana"/>
          <w:sz w:val="18"/>
          <w:szCs w:val="18"/>
        </w:rPr>
      </w:pPr>
      <w:r w:rsidRPr="001A1392">
        <w:rPr>
          <w:rFonts w:ascii="Verdana" w:eastAsia="Arial" w:hAnsi="Verdana"/>
          <w:sz w:val="18"/>
          <w:szCs w:val="18"/>
        </w:rPr>
        <w:t>průběžné sledování a optimalizaci spotřeby elektřiny, plynu a pohonných hmot s cílem zvyšovat energetickou účinnost,</w:t>
      </w:r>
    </w:p>
    <w:p w14:paraId="64D2A80C" w14:textId="77777777" w:rsidR="00925999" w:rsidRPr="001A1392" w:rsidRDefault="00000000">
      <w:pPr>
        <w:numPr>
          <w:ilvl w:val="0"/>
          <w:numId w:val="1"/>
        </w:numPr>
        <w:spacing w:after="240"/>
        <w:rPr>
          <w:rFonts w:ascii="Verdana" w:eastAsia="Arial" w:hAnsi="Verdana"/>
          <w:sz w:val="18"/>
          <w:szCs w:val="18"/>
        </w:rPr>
      </w:pPr>
      <w:r w:rsidRPr="001A1392">
        <w:rPr>
          <w:rFonts w:ascii="Verdana" w:eastAsia="Arial" w:hAnsi="Verdana"/>
          <w:sz w:val="18"/>
          <w:szCs w:val="18"/>
        </w:rPr>
        <w:t>další rozvoj technologií pro šetrné nakládání se zdroji, včetně využívání recyklace vody v myčkách na všech pobočkách.</w:t>
      </w:r>
    </w:p>
    <w:p w14:paraId="0085B10D" w14:textId="77777777" w:rsidR="00925999" w:rsidRPr="001A1392" w:rsidRDefault="00000000">
      <w:pPr>
        <w:spacing w:before="240" w:after="240"/>
        <w:jc w:val="both"/>
        <w:rPr>
          <w:rFonts w:ascii="Verdana" w:eastAsia="Arial" w:hAnsi="Verdana"/>
          <w:sz w:val="18"/>
          <w:szCs w:val="18"/>
        </w:rPr>
      </w:pPr>
      <w:r w:rsidRPr="001A1392">
        <w:rPr>
          <w:rFonts w:ascii="Verdana" w:eastAsia="Arial" w:hAnsi="Verdana"/>
          <w:sz w:val="18"/>
          <w:szCs w:val="18"/>
        </w:rPr>
        <w:t>V sociální oblasti zůstává naším cílem podporovat rovné odměňování za práci stejné hodnoty v souladu se zákoníkem práce. Současně se připravujeme na požadavky směrnice o transparentním odměňování a budoucí reporting za rok 2026.</w:t>
      </w:r>
    </w:p>
    <w:p w14:paraId="23E5E749" w14:textId="77777777" w:rsidR="00925999" w:rsidRPr="001A1392" w:rsidRDefault="00000000">
      <w:pPr>
        <w:spacing w:before="240" w:after="240"/>
        <w:jc w:val="both"/>
        <w:rPr>
          <w:rFonts w:ascii="Verdana" w:eastAsia="Arial" w:hAnsi="Verdana"/>
          <w:sz w:val="18"/>
          <w:szCs w:val="18"/>
        </w:rPr>
      </w:pPr>
      <w:r w:rsidRPr="001A1392">
        <w:rPr>
          <w:rFonts w:ascii="Verdana" w:eastAsia="Arial" w:hAnsi="Verdana"/>
          <w:sz w:val="18"/>
          <w:szCs w:val="18"/>
        </w:rPr>
        <w:t>V oblasti bezpečnosti práce se nadále zaměřujeme na prevenci pracovních úrazů a zlepšování pracovních podmínek. V roce 2025 jsme evidovali 7 pracovních úrazů a pokračujeme v pravidelném školení zaměstnanců i dalším rozvoji preventivních opatření.</w:t>
      </w:r>
    </w:p>
    <w:p w14:paraId="45E6B1C3" w14:textId="77777777" w:rsidR="00925999" w:rsidRPr="001A1392" w:rsidRDefault="00000000">
      <w:pPr>
        <w:spacing w:before="240" w:after="240"/>
        <w:jc w:val="both"/>
        <w:rPr>
          <w:rFonts w:ascii="Verdana" w:eastAsia="Arial" w:hAnsi="Verdana"/>
          <w:sz w:val="18"/>
          <w:szCs w:val="18"/>
        </w:rPr>
      </w:pPr>
      <w:bookmarkStart w:id="0" w:name="_heading=h.nwc016jwten5" w:colFirst="0" w:colLast="0"/>
      <w:bookmarkEnd w:id="0"/>
      <w:r w:rsidRPr="001A1392">
        <w:rPr>
          <w:rFonts w:ascii="Verdana" w:eastAsia="Arial" w:hAnsi="Verdana"/>
          <w:sz w:val="18"/>
          <w:szCs w:val="18"/>
        </w:rPr>
        <w:t>Naše závazky v oblasti udržitelnosti vycházejí z reálných možností společnosti a z dostupných dat. Jednotlivá opatření chceme průběžně vyhodnocovat tak, aby jejich přínos pro životní prostředí, zaměstnance, zákazníky i firemní kulturu byl měřitelný a dlouhodobě udržitelný.</w:t>
      </w:r>
    </w:p>
    <w:p w14:paraId="3E3E6DCE" w14:textId="77777777" w:rsidR="00925999" w:rsidRPr="001A1392" w:rsidRDefault="00925999">
      <w:pPr>
        <w:spacing w:before="240" w:after="240"/>
        <w:jc w:val="both"/>
        <w:rPr>
          <w:rFonts w:ascii="Verdana" w:eastAsia="Arial" w:hAnsi="Verdana"/>
          <w:b/>
          <w:bCs/>
          <w:sz w:val="18"/>
          <w:szCs w:val="18"/>
        </w:rPr>
      </w:pPr>
      <w:bookmarkStart w:id="1" w:name="_heading=h.yfjms2qk1zyh" w:colFirst="0" w:colLast="0"/>
      <w:bookmarkEnd w:id="1"/>
    </w:p>
    <w:p w14:paraId="7C073F8A" w14:textId="77777777" w:rsidR="00925999" w:rsidRPr="001A1392" w:rsidRDefault="00925999">
      <w:pPr>
        <w:spacing w:before="240" w:after="240"/>
        <w:jc w:val="both"/>
        <w:rPr>
          <w:rFonts w:ascii="Verdana" w:eastAsia="Arial" w:hAnsi="Verdana"/>
          <w:b/>
          <w:bCs/>
          <w:sz w:val="18"/>
          <w:szCs w:val="18"/>
        </w:rPr>
      </w:pPr>
      <w:bookmarkStart w:id="2" w:name="_heading=h.ifyapz7jb72g" w:colFirst="0" w:colLast="0"/>
      <w:bookmarkEnd w:id="2"/>
    </w:p>
    <w:p w14:paraId="3D1D8AD1" w14:textId="77777777" w:rsidR="00925999" w:rsidRPr="001A1392" w:rsidRDefault="00925999">
      <w:pPr>
        <w:spacing w:before="240" w:after="240"/>
        <w:jc w:val="both"/>
        <w:rPr>
          <w:rFonts w:ascii="Verdana" w:eastAsia="Arial" w:hAnsi="Verdana"/>
          <w:b/>
          <w:bCs/>
          <w:sz w:val="18"/>
          <w:szCs w:val="18"/>
        </w:rPr>
      </w:pPr>
      <w:bookmarkStart w:id="3" w:name="_heading=h.cunnlytr4vte" w:colFirst="0" w:colLast="0"/>
      <w:bookmarkEnd w:id="3"/>
    </w:p>
    <w:p w14:paraId="31634D2B" w14:textId="77777777" w:rsidR="00925999" w:rsidRPr="001A1392" w:rsidRDefault="00925999">
      <w:pPr>
        <w:spacing w:before="240" w:after="240"/>
        <w:jc w:val="both"/>
        <w:rPr>
          <w:rFonts w:ascii="Verdana" w:eastAsia="Arial" w:hAnsi="Verdana"/>
          <w:b/>
          <w:bCs/>
          <w:sz w:val="18"/>
          <w:szCs w:val="18"/>
        </w:rPr>
      </w:pPr>
      <w:bookmarkStart w:id="4" w:name="_heading=h.o24d3zun65x4" w:colFirst="0" w:colLast="0"/>
      <w:bookmarkEnd w:id="4"/>
    </w:p>
    <w:p w14:paraId="49942AE9" w14:textId="77777777" w:rsidR="00925999" w:rsidRPr="001A1392" w:rsidRDefault="00925999">
      <w:pPr>
        <w:spacing w:before="240" w:after="240"/>
        <w:jc w:val="both"/>
        <w:rPr>
          <w:rFonts w:ascii="Verdana" w:eastAsia="Arial" w:hAnsi="Verdana"/>
          <w:b/>
          <w:bCs/>
          <w:sz w:val="18"/>
          <w:szCs w:val="18"/>
        </w:rPr>
      </w:pPr>
      <w:bookmarkStart w:id="5" w:name="_heading=h.n6zsalejwi" w:colFirst="0" w:colLast="0"/>
      <w:bookmarkEnd w:id="5"/>
    </w:p>
    <w:p w14:paraId="543F00A3" w14:textId="77777777" w:rsidR="00925999" w:rsidRPr="001A1392" w:rsidRDefault="00925999">
      <w:pPr>
        <w:spacing w:before="240" w:after="240"/>
        <w:jc w:val="both"/>
        <w:rPr>
          <w:rFonts w:ascii="Verdana" w:eastAsia="Arial" w:hAnsi="Verdana"/>
          <w:b/>
          <w:bCs/>
          <w:sz w:val="18"/>
          <w:szCs w:val="18"/>
        </w:rPr>
      </w:pPr>
      <w:bookmarkStart w:id="6" w:name="_heading=h.h69u7zcetnkw" w:colFirst="0" w:colLast="0"/>
      <w:bookmarkEnd w:id="6"/>
    </w:p>
    <w:p w14:paraId="10085ECF" w14:textId="77777777" w:rsidR="00925999" w:rsidRPr="001A1392" w:rsidRDefault="00925999">
      <w:pPr>
        <w:spacing w:before="240" w:after="240"/>
        <w:jc w:val="both"/>
        <w:rPr>
          <w:rFonts w:ascii="Verdana" w:eastAsia="Arial" w:hAnsi="Verdana"/>
          <w:b/>
          <w:bCs/>
          <w:sz w:val="18"/>
          <w:szCs w:val="18"/>
        </w:rPr>
      </w:pPr>
      <w:bookmarkStart w:id="7" w:name="_heading=h.wdklpkvz8c7d" w:colFirst="0" w:colLast="0"/>
      <w:bookmarkEnd w:id="7"/>
    </w:p>
    <w:p w14:paraId="2C29ECC3" w14:textId="77777777" w:rsidR="00925999" w:rsidRPr="001A1392" w:rsidRDefault="00925999">
      <w:pPr>
        <w:spacing w:before="240" w:after="240"/>
        <w:jc w:val="both"/>
        <w:rPr>
          <w:rFonts w:ascii="Verdana" w:eastAsia="Arial" w:hAnsi="Verdana"/>
          <w:b/>
          <w:bCs/>
          <w:sz w:val="18"/>
          <w:szCs w:val="18"/>
        </w:rPr>
      </w:pPr>
      <w:bookmarkStart w:id="8" w:name="_heading=h.p4a4tgsb9bgi" w:colFirst="0" w:colLast="0"/>
      <w:bookmarkEnd w:id="8"/>
    </w:p>
    <w:p w14:paraId="5F6CCC34" w14:textId="77777777" w:rsidR="00925999" w:rsidRPr="001A1392" w:rsidRDefault="00925999">
      <w:pPr>
        <w:spacing w:before="240" w:after="240"/>
        <w:jc w:val="both"/>
        <w:rPr>
          <w:rFonts w:ascii="Verdana" w:eastAsia="Arial" w:hAnsi="Verdana"/>
          <w:b/>
          <w:bCs/>
          <w:sz w:val="18"/>
          <w:szCs w:val="18"/>
        </w:rPr>
      </w:pPr>
      <w:bookmarkStart w:id="9" w:name="_heading=h.fbohpaxsc73f" w:colFirst="0" w:colLast="0"/>
      <w:bookmarkEnd w:id="9"/>
    </w:p>
    <w:p w14:paraId="6BE2DF26" w14:textId="77777777" w:rsidR="00925999" w:rsidRPr="001A1392" w:rsidRDefault="00925999">
      <w:pPr>
        <w:spacing w:before="240" w:after="240"/>
        <w:jc w:val="both"/>
        <w:rPr>
          <w:rFonts w:ascii="Verdana" w:eastAsia="Arial" w:hAnsi="Verdana"/>
          <w:b/>
          <w:bCs/>
          <w:sz w:val="18"/>
          <w:szCs w:val="18"/>
        </w:rPr>
      </w:pPr>
      <w:bookmarkStart w:id="10" w:name="_heading=h.5vgoqqnyc55e" w:colFirst="0" w:colLast="0"/>
      <w:bookmarkEnd w:id="10"/>
    </w:p>
    <w:p w14:paraId="7997A319" w14:textId="77777777" w:rsidR="00925999" w:rsidRPr="001A1392" w:rsidRDefault="00925999">
      <w:pPr>
        <w:spacing w:before="240" w:after="240"/>
        <w:jc w:val="both"/>
        <w:rPr>
          <w:rFonts w:ascii="Verdana" w:eastAsia="Arial" w:hAnsi="Verdana"/>
          <w:b/>
          <w:bCs/>
          <w:sz w:val="18"/>
          <w:szCs w:val="18"/>
        </w:rPr>
      </w:pPr>
      <w:bookmarkStart w:id="11" w:name="_heading=h.109npelwwy9r" w:colFirst="0" w:colLast="0"/>
      <w:bookmarkEnd w:id="11"/>
    </w:p>
    <w:p w14:paraId="4958DE4F" w14:textId="77777777" w:rsidR="00925999" w:rsidRPr="001A1392" w:rsidRDefault="00925999">
      <w:pPr>
        <w:spacing w:before="240" w:after="240"/>
        <w:jc w:val="both"/>
        <w:rPr>
          <w:rFonts w:ascii="Verdana" w:eastAsia="Arial" w:hAnsi="Verdana"/>
          <w:b/>
          <w:bCs/>
          <w:sz w:val="18"/>
          <w:szCs w:val="18"/>
        </w:rPr>
      </w:pPr>
      <w:bookmarkStart w:id="12" w:name="_heading=h.j15fo9aae08w" w:colFirst="0" w:colLast="0"/>
      <w:bookmarkEnd w:id="12"/>
    </w:p>
    <w:p w14:paraId="715549A6" w14:textId="77777777" w:rsidR="00925999" w:rsidRPr="001A1392" w:rsidRDefault="00925999">
      <w:pPr>
        <w:spacing w:before="240" w:after="240"/>
        <w:jc w:val="both"/>
        <w:rPr>
          <w:rFonts w:ascii="Verdana" w:eastAsia="Arial" w:hAnsi="Verdana"/>
          <w:b/>
          <w:bCs/>
          <w:sz w:val="18"/>
          <w:szCs w:val="18"/>
        </w:rPr>
      </w:pPr>
      <w:bookmarkStart w:id="13" w:name="_heading=h.b92q4vn6rnx" w:colFirst="0" w:colLast="0"/>
      <w:bookmarkEnd w:id="13"/>
    </w:p>
    <w:p w14:paraId="6FF7540C" w14:textId="77777777" w:rsidR="00925999" w:rsidRPr="001A1392" w:rsidRDefault="00925999">
      <w:pPr>
        <w:spacing w:before="240" w:after="240"/>
        <w:jc w:val="both"/>
        <w:rPr>
          <w:rFonts w:ascii="Verdana" w:eastAsia="Arial" w:hAnsi="Verdana"/>
          <w:b/>
          <w:bCs/>
          <w:sz w:val="18"/>
          <w:szCs w:val="18"/>
        </w:rPr>
      </w:pPr>
      <w:bookmarkStart w:id="14" w:name="_heading=h.awd6n4uu27ol" w:colFirst="0" w:colLast="0"/>
      <w:bookmarkEnd w:id="14"/>
    </w:p>
    <w:p w14:paraId="7E603C07" w14:textId="77777777" w:rsidR="00925999" w:rsidRPr="001A1392" w:rsidRDefault="00925999">
      <w:pPr>
        <w:spacing w:before="240" w:after="240"/>
        <w:jc w:val="both"/>
        <w:rPr>
          <w:rFonts w:ascii="Verdana" w:eastAsia="Arial" w:hAnsi="Verdana"/>
          <w:b/>
          <w:bCs/>
          <w:sz w:val="18"/>
          <w:szCs w:val="18"/>
        </w:rPr>
      </w:pPr>
      <w:bookmarkStart w:id="15" w:name="_heading=h.6t2epu373svy" w:colFirst="0" w:colLast="0"/>
      <w:bookmarkEnd w:id="15"/>
    </w:p>
    <w:p w14:paraId="791C3378" w14:textId="77777777" w:rsidR="001A1392" w:rsidRDefault="001A1392">
      <w:pPr>
        <w:spacing w:before="240" w:after="240"/>
        <w:jc w:val="both"/>
        <w:rPr>
          <w:rFonts w:ascii="Verdana" w:eastAsia="Arial" w:hAnsi="Verdana"/>
          <w:b/>
          <w:bCs/>
          <w:sz w:val="18"/>
          <w:szCs w:val="18"/>
        </w:rPr>
      </w:pPr>
      <w:bookmarkStart w:id="16" w:name="_heading=h.hsk5lsj84iu0" w:colFirst="0" w:colLast="0"/>
      <w:bookmarkStart w:id="17" w:name="_heading=h.ruv8qs78vf5r" w:colFirst="0" w:colLast="0"/>
      <w:bookmarkStart w:id="18" w:name="_heading=h.smri0khyv7ir" w:colFirst="0" w:colLast="0"/>
      <w:bookmarkStart w:id="19" w:name="_heading=h.676hczgl6opn" w:colFirst="0" w:colLast="0"/>
      <w:bookmarkStart w:id="20" w:name="_heading=h.txt9eihypj7q" w:colFirst="0" w:colLast="0"/>
      <w:bookmarkStart w:id="21" w:name="_heading=h.zah1fgyhc270" w:colFirst="0" w:colLast="0"/>
      <w:bookmarkEnd w:id="16"/>
      <w:bookmarkEnd w:id="17"/>
      <w:bookmarkEnd w:id="18"/>
      <w:bookmarkEnd w:id="19"/>
      <w:bookmarkEnd w:id="20"/>
      <w:bookmarkEnd w:id="21"/>
    </w:p>
    <w:p w14:paraId="72515642" w14:textId="5CEFDDC8" w:rsidR="00925999" w:rsidRPr="001A1392" w:rsidRDefault="00000000">
      <w:pPr>
        <w:spacing w:before="240" w:after="240"/>
        <w:jc w:val="both"/>
        <w:rPr>
          <w:rFonts w:ascii="Verdana" w:eastAsia="Arial" w:hAnsi="Verdana"/>
          <w:b/>
          <w:bCs/>
          <w:sz w:val="18"/>
          <w:szCs w:val="18"/>
        </w:rPr>
      </w:pPr>
      <w:r w:rsidRPr="001A1392">
        <w:rPr>
          <w:rFonts w:ascii="Verdana" w:eastAsia="Arial" w:hAnsi="Verdana"/>
          <w:b/>
          <w:bCs/>
          <w:sz w:val="18"/>
          <w:szCs w:val="18"/>
        </w:rPr>
        <w:lastRenderedPageBreak/>
        <w:t xml:space="preserve">Seznam použitých zkratek </w:t>
      </w:r>
    </w:p>
    <w:p w14:paraId="3567276D" w14:textId="77777777" w:rsidR="00925999" w:rsidRPr="001A1392" w:rsidRDefault="00000000">
      <w:pPr>
        <w:spacing w:before="240" w:after="240"/>
        <w:jc w:val="both"/>
        <w:rPr>
          <w:rFonts w:ascii="Verdana" w:eastAsia="Arial" w:hAnsi="Verdana"/>
          <w:sz w:val="18"/>
          <w:szCs w:val="18"/>
        </w:rPr>
      </w:pPr>
      <w:r w:rsidRPr="001A1392">
        <w:rPr>
          <w:rFonts w:ascii="Verdana" w:eastAsia="Arial" w:hAnsi="Verdana"/>
          <w:b/>
          <w:bCs/>
          <w:sz w:val="18"/>
          <w:szCs w:val="18"/>
        </w:rPr>
        <w:t xml:space="preserve">BOZP </w:t>
      </w:r>
      <w:r w:rsidRPr="001A1392">
        <w:rPr>
          <w:rFonts w:ascii="Verdana" w:eastAsia="Arial" w:hAnsi="Verdana"/>
          <w:sz w:val="18"/>
          <w:szCs w:val="18"/>
        </w:rPr>
        <w:t>Bezpečnost a ochrana zdraví při práci</w:t>
      </w:r>
    </w:p>
    <w:p w14:paraId="51604767" w14:textId="77777777" w:rsidR="00925999" w:rsidRPr="001A1392" w:rsidRDefault="00000000">
      <w:pPr>
        <w:spacing w:before="240" w:after="240"/>
        <w:jc w:val="both"/>
        <w:rPr>
          <w:rFonts w:ascii="Verdana" w:eastAsia="Arial" w:hAnsi="Verdana"/>
          <w:sz w:val="18"/>
          <w:szCs w:val="18"/>
        </w:rPr>
      </w:pPr>
      <w:bookmarkStart w:id="22" w:name="_heading=h.wqu631yqd6nv" w:colFirst="0" w:colLast="0"/>
      <w:bookmarkEnd w:id="22"/>
      <w:r w:rsidRPr="001A1392">
        <w:rPr>
          <w:rFonts w:ascii="Verdana" w:eastAsia="Arial" w:hAnsi="Verdana"/>
          <w:b/>
          <w:bCs/>
          <w:sz w:val="18"/>
          <w:szCs w:val="18"/>
        </w:rPr>
        <w:t xml:space="preserve">CO2 </w:t>
      </w:r>
      <w:r w:rsidRPr="001A1392">
        <w:rPr>
          <w:rFonts w:ascii="Verdana" w:eastAsia="Arial" w:hAnsi="Verdana"/>
          <w:sz w:val="18"/>
          <w:szCs w:val="18"/>
        </w:rPr>
        <w:t>Oxid uhličitý</w:t>
      </w:r>
    </w:p>
    <w:p w14:paraId="75A02D35" w14:textId="77777777" w:rsidR="00925999" w:rsidRPr="001A1392" w:rsidRDefault="00000000">
      <w:pPr>
        <w:spacing w:before="240" w:after="240"/>
        <w:jc w:val="both"/>
        <w:rPr>
          <w:rFonts w:ascii="Verdana" w:eastAsia="Arial" w:hAnsi="Verdana"/>
          <w:sz w:val="18"/>
          <w:szCs w:val="18"/>
        </w:rPr>
      </w:pPr>
      <w:bookmarkStart w:id="23" w:name="_heading=h.ya9mxv5uy1m" w:colFirst="0" w:colLast="0"/>
      <w:bookmarkEnd w:id="23"/>
      <w:r w:rsidRPr="001A1392">
        <w:rPr>
          <w:rFonts w:ascii="Verdana" w:eastAsia="Arial" w:hAnsi="Verdana"/>
          <w:b/>
          <w:bCs/>
          <w:sz w:val="18"/>
          <w:szCs w:val="18"/>
        </w:rPr>
        <w:t xml:space="preserve">CSRD </w:t>
      </w:r>
      <w:r w:rsidRPr="001A1392">
        <w:rPr>
          <w:rFonts w:ascii="Verdana" w:eastAsia="Arial" w:hAnsi="Verdana"/>
          <w:sz w:val="18"/>
          <w:szCs w:val="18"/>
        </w:rPr>
        <w:t>Směrnice o podávání zpráv podniků o udržitelnosti</w:t>
      </w:r>
    </w:p>
    <w:p w14:paraId="1CF32E96" w14:textId="77777777" w:rsidR="00925999" w:rsidRPr="001A1392" w:rsidRDefault="00000000">
      <w:pPr>
        <w:spacing w:before="240" w:after="240"/>
        <w:jc w:val="both"/>
        <w:rPr>
          <w:rFonts w:ascii="Verdana" w:eastAsia="Arial" w:hAnsi="Verdana"/>
          <w:sz w:val="18"/>
          <w:szCs w:val="18"/>
        </w:rPr>
      </w:pPr>
      <w:bookmarkStart w:id="24" w:name="_heading=h.oqj3ovl8pw9n" w:colFirst="0" w:colLast="0"/>
      <w:bookmarkEnd w:id="24"/>
      <w:r w:rsidRPr="001A1392">
        <w:rPr>
          <w:rFonts w:ascii="Verdana" w:eastAsia="Arial" w:hAnsi="Verdana"/>
          <w:b/>
          <w:bCs/>
          <w:sz w:val="18"/>
          <w:szCs w:val="18"/>
        </w:rPr>
        <w:t xml:space="preserve">ESG </w:t>
      </w:r>
      <w:r w:rsidRPr="001A1392">
        <w:rPr>
          <w:rFonts w:ascii="Verdana" w:eastAsia="Arial" w:hAnsi="Verdana"/>
          <w:sz w:val="18"/>
          <w:szCs w:val="18"/>
        </w:rPr>
        <w:t xml:space="preserve">Environment, </w:t>
      </w:r>
      <w:proofErr w:type="spellStart"/>
      <w:r w:rsidRPr="001A1392">
        <w:rPr>
          <w:rFonts w:ascii="Verdana" w:eastAsia="Arial" w:hAnsi="Verdana"/>
          <w:sz w:val="18"/>
          <w:szCs w:val="18"/>
        </w:rPr>
        <w:t>social</w:t>
      </w:r>
      <w:proofErr w:type="spellEnd"/>
      <w:r w:rsidRPr="001A1392">
        <w:rPr>
          <w:rFonts w:ascii="Verdana" w:eastAsia="Arial" w:hAnsi="Verdana"/>
          <w:sz w:val="18"/>
          <w:szCs w:val="18"/>
        </w:rPr>
        <w:t xml:space="preserve"> and </w:t>
      </w:r>
      <w:proofErr w:type="spellStart"/>
      <w:r w:rsidRPr="001A1392">
        <w:rPr>
          <w:rFonts w:ascii="Verdana" w:eastAsia="Arial" w:hAnsi="Verdana"/>
          <w:sz w:val="18"/>
          <w:szCs w:val="18"/>
        </w:rPr>
        <w:t>governance</w:t>
      </w:r>
      <w:proofErr w:type="spellEnd"/>
    </w:p>
    <w:p w14:paraId="384EEC5C" w14:textId="77777777" w:rsidR="00925999" w:rsidRPr="001A1392" w:rsidRDefault="00000000">
      <w:pPr>
        <w:spacing w:before="240" w:after="240"/>
        <w:jc w:val="both"/>
        <w:rPr>
          <w:rFonts w:ascii="Verdana" w:eastAsia="Arial" w:hAnsi="Verdana"/>
          <w:sz w:val="18"/>
          <w:szCs w:val="18"/>
        </w:rPr>
      </w:pPr>
      <w:bookmarkStart w:id="25" w:name="_heading=h.3cz8zxt9pt4" w:colFirst="0" w:colLast="0"/>
      <w:bookmarkEnd w:id="25"/>
      <w:r w:rsidRPr="001A1392">
        <w:rPr>
          <w:rFonts w:ascii="Verdana" w:eastAsia="Arial" w:hAnsi="Verdana"/>
          <w:b/>
          <w:bCs/>
          <w:sz w:val="18"/>
          <w:szCs w:val="18"/>
        </w:rPr>
        <w:t xml:space="preserve">ESRS </w:t>
      </w:r>
      <w:r w:rsidRPr="001A1392">
        <w:rPr>
          <w:rFonts w:ascii="Verdana" w:eastAsia="Arial" w:hAnsi="Verdana"/>
          <w:sz w:val="18"/>
          <w:szCs w:val="18"/>
        </w:rPr>
        <w:t>Evropské standardy pro vykazování udržitelnosti</w:t>
      </w:r>
    </w:p>
    <w:p w14:paraId="46CE6448" w14:textId="77777777" w:rsidR="00925999" w:rsidRPr="001A1392" w:rsidRDefault="00000000">
      <w:pPr>
        <w:spacing w:before="240" w:after="240"/>
        <w:jc w:val="both"/>
        <w:rPr>
          <w:rFonts w:ascii="Verdana" w:eastAsia="Arial" w:hAnsi="Verdana"/>
          <w:sz w:val="18"/>
          <w:szCs w:val="18"/>
        </w:rPr>
      </w:pPr>
      <w:bookmarkStart w:id="26" w:name="_heading=h.bldacbv2ar7l" w:colFirst="0" w:colLast="0"/>
      <w:bookmarkEnd w:id="26"/>
      <w:r w:rsidRPr="001A1392">
        <w:rPr>
          <w:rFonts w:ascii="Verdana" w:eastAsia="Arial" w:hAnsi="Verdana"/>
          <w:b/>
          <w:bCs/>
          <w:sz w:val="18"/>
          <w:szCs w:val="18"/>
        </w:rPr>
        <w:t xml:space="preserve">GHG </w:t>
      </w:r>
      <w:r w:rsidRPr="001A1392">
        <w:rPr>
          <w:rFonts w:ascii="Verdana" w:eastAsia="Arial" w:hAnsi="Verdana"/>
          <w:sz w:val="18"/>
          <w:szCs w:val="18"/>
        </w:rPr>
        <w:t>Skleníkový plyn</w:t>
      </w:r>
    </w:p>
    <w:p w14:paraId="76E9F658" w14:textId="77777777" w:rsidR="00925999" w:rsidRPr="001A1392" w:rsidRDefault="00000000">
      <w:pPr>
        <w:spacing w:before="240" w:after="240"/>
        <w:jc w:val="both"/>
        <w:rPr>
          <w:rFonts w:ascii="Verdana" w:eastAsia="Arial" w:hAnsi="Verdana"/>
          <w:sz w:val="18"/>
          <w:szCs w:val="18"/>
        </w:rPr>
      </w:pPr>
      <w:bookmarkStart w:id="27" w:name="_heading=h.wpty70j35hex" w:colFirst="0" w:colLast="0"/>
      <w:bookmarkEnd w:id="27"/>
      <w:r w:rsidRPr="001A1392">
        <w:rPr>
          <w:rFonts w:ascii="Verdana" w:eastAsia="Arial" w:hAnsi="Verdana"/>
          <w:b/>
          <w:bCs/>
          <w:sz w:val="18"/>
          <w:szCs w:val="18"/>
        </w:rPr>
        <w:t xml:space="preserve">VSME </w:t>
      </w:r>
      <w:r w:rsidRPr="001A1392">
        <w:rPr>
          <w:rFonts w:ascii="Verdana" w:eastAsia="Arial" w:hAnsi="Verdana"/>
          <w:sz w:val="18"/>
          <w:szCs w:val="18"/>
        </w:rPr>
        <w:t>Dobrovolné reportovací standardy udržitelnosti skupiny EFRAG</w:t>
      </w:r>
    </w:p>
    <w:p w14:paraId="089C8628" w14:textId="77777777" w:rsidR="00925999" w:rsidRPr="001A1392" w:rsidRDefault="00000000">
      <w:pPr>
        <w:spacing w:before="240" w:after="240"/>
        <w:jc w:val="both"/>
        <w:rPr>
          <w:rFonts w:ascii="Verdana" w:eastAsia="Arial" w:hAnsi="Verdana"/>
          <w:sz w:val="18"/>
          <w:szCs w:val="18"/>
        </w:rPr>
      </w:pPr>
      <w:bookmarkStart w:id="28" w:name="_heading=h.p8olbgiy74fs" w:colFirst="0" w:colLast="0"/>
      <w:bookmarkEnd w:id="28"/>
      <w:r w:rsidRPr="001A1392">
        <w:rPr>
          <w:rFonts w:ascii="Verdana" w:eastAsia="Arial" w:hAnsi="Verdana"/>
          <w:b/>
          <w:bCs/>
          <w:sz w:val="18"/>
          <w:szCs w:val="18"/>
        </w:rPr>
        <w:t>KPI Klíčové ukazatele výkonnosti</w:t>
      </w:r>
    </w:p>
    <w:p w14:paraId="77D36D7E" w14:textId="77777777" w:rsidR="00925999" w:rsidRPr="001A1392" w:rsidRDefault="00925999">
      <w:pPr>
        <w:spacing w:before="240" w:after="240"/>
        <w:jc w:val="both"/>
        <w:rPr>
          <w:rFonts w:ascii="Verdana" w:eastAsia="Arial" w:hAnsi="Verdana"/>
          <w:sz w:val="18"/>
          <w:szCs w:val="18"/>
        </w:rPr>
      </w:pPr>
      <w:bookmarkStart w:id="29" w:name="_heading=h.54wm0s6weg6j" w:colFirst="0" w:colLast="0"/>
      <w:bookmarkEnd w:id="29"/>
    </w:p>
    <w:p w14:paraId="051C6720" w14:textId="77777777" w:rsidR="00925999" w:rsidRPr="001A1392" w:rsidRDefault="00925999">
      <w:pPr>
        <w:spacing w:before="240" w:after="240"/>
        <w:jc w:val="both"/>
        <w:rPr>
          <w:rFonts w:ascii="Verdana" w:eastAsia="Arial" w:hAnsi="Verdana"/>
          <w:sz w:val="18"/>
          <w:szCs w:val="18"/>
        </w:rPr>
      </w:pPr>
      <w:bookmarkStart w:id="30" w:name="_heading=h.nb0i9xlzd9d7" w:colFirst="0" w:colLast="0"/>
      <w:bookmarkEnd w:id="30"/>
    </w:p>
    <w:p w14:paraId="2DACDCC4" w14:textId="77777777" w:rsidR="00925999" w:rsidRPr="001A1392" w:rsidRDefault="00925999">
      <w:pPr>
        <w:spacing w:before="240" w:after="240"/>
        <w:jc w:val="both"/>
        <w:rPr>
          <w:rFonts w:ascii="Verdana" w:eastAsia="Arial" w:hAnsi="Verdana"/>
          <w:sz w:val="18"/>
          <w:szCs w:val="18"/>
        </w:rPr>
      </w:pPr>
      <w:bookmarkStart w:id="31" w:name="_heading=h.4u2nyh7asvqp" w:colFirst="0" w:colLast="0"/>
      <w:bookmarkEnd w:id="31"/>
    </w:p>
    <w:p w14:paraId="5B9E1023" w14:textId="77777777" w:rsidR="00925999" w:rsidRPr="001A1392" w:rsidRDefault="00925999">
      <w:pPr>
        <w:spacing w:before="240" w:after="240"/>
        <w:jc w:val="both"/>
        <w:rPr>
          <w:rFonts w:ascii="Verdana" w:eastAsia="Arial" w:hAnsi="Verdana"/>
          <w:sz w:val="18"/>
          <w:szCs w:val="18"/>
        </w:rPr>
      </w:pPr>
      <w:bookmarkStart w:id="32" w:name="_heading=h.1mmfngb98aac" w:colFirst="0" w:colLast="0"/>
      <w:bookmarkEnd w:id="32"/>
    </w:p>
    <w:p w14:paraId="59DDECC0" w14:textId="77777777" w:rsidR="00925999" w:rsidRPr="001A1392" w:rsidRDefault="00925999">
      <w:pPr>
        <w:spacing w:before="240" w:after="240"/>
        <w:jc w:val="both"/>
        <w:rPr>
          <w:rFonts w:ascii="Verdana" w:eastAsia="Arial" w:hAnsi="Verdana"/>
          <w:sz w:val="18"/>
          <w:szCs w:val="18"/>
        </w:rPr>
      </w:pPr>
      <w:bookmarkStart w:id="33" w:name="_heading=h.tgpwfeop8iwl" w:colFirst="0" w:colLast="0"/>
      <w:bookmarkEnd w:id="33"/>
    </w:p>
    <w:p w14:paraId="31D05A04" w14:textId="77777777" w:rsidR="00925999" w:rsidRPr="001A1392" w:rsidRDefault="00925999">
      <w:pPr>
        <w:spacing w:before="240" w:after="240"/>
        <w:jc w:val="both"/>
        <w:rPr>
          <w:rFonts w:ascii="Verdana" w:eastAsia="Arial" w:hAnsi="Verdana"/>
          <w:sz w:val="18"/>
          <w:szCs w:val="18"/>
        </w:rPr>
      </w:pPr>
      <w:bookmarkStart w:id="34" w:name="_heading=h.7d8py5e4dhr6" w:colFirst="0" w:colLast="0"/>
      <w:bookmarkEnd w:id="34"/>
    </w:p>
    <w:p w14:paraId="211A243F" w14:textId="77777777" w:rsidR="00925999" w:rsidRPr="001A1392" w:rsidRDefault="00925999">
      <w:pPr>
        <w:spacing w:before="240" w:after="240"/>
        <w:jc w:val="both"/>
        <w:rPr>
          <w:rFonts w:ascii="Verdana" w:eastAsia="Arial" w:hAnsi="Verdana"/>
          <w:sz w:val="18"/>
          <w:szCs w:val="18"/>
        </w:rPr>
      </w:pPr>
      <w:bookmarkStart w:id="35" w:name="_heading=h.22ka6en3zhdb" w:colFirst="0" w:colLast="0"/>
      <w:bookmarkEnd w:id="35"/>
    </w:p>
    <w:p w14:paraId="02ED41BC" w14:textId="77777777" w:rsidR="00925999" w:rsidRPr="001A1392" w:rsidRDefault="00925999">
      <w:pPr>
        <w:spacing w:before="240" w:after="240"/>
        <w:jc w:val="both"/>
        <w:rPr>
          <w:rFonts w:ascii="Verdana" w:eastAsia="Arial" w:hAnsi="Verdana"/>
          <w:sz w:val="18"/>
          <w:szCs w:val="18"/>
        </w:rPr>
      </w:pPr>
      <w:bookmarkStart w:id="36" w:name="_heading=h.6npt6i4rla8k" w:colFirst="0" w:colLast="0"/>
      <w:bookmarkEnd w:id="36"/>
    </w:p>
    <w:p w14:paraId="62FF694A" w14:textId="77777777" w:rsidR="00925999" w:rsidRPr="001A1392" w:rsidRDefault="00925999">
      <w:pPr>
        <w:spacing w:before="240" w:after="240"/>
        <w:jc w:val="both"/>
        <w:rPr>
          <w:rFonts w:ascii="Verdana" w:eastAsia="Arial" w:hAnsi="Verdana"/>
          <w:sz w:val="18"/>
          <w:szCs w:val="18"/>
        </w:rPr>
      </w:pPr>
      <w:bookmarkStart w:id="37" w:name="_heading=h.scllsiviz9go" w:colFirst="0" w:colLast="0"/>
      <w:bookmarkEnd w:id="37"/>
    </w:p>
    <w:p w14:paraId="7B772B3A" w14:textId="77777777" w:rsidR="00925999" w:rsidRPr="001A1392" w:rsidRDefault="00925999">
      <w:pPr>
        <w:spacing w:before="240" w:after="240"/>
        <w:jc w:val="both"/>
        <w:rPr>
          <w:rFonts w:ascii="Verdana" w:eastAsia="Arial" w:hAnsi="Verdana"/>
          <w:sz w:val="18"/>
          <w:szCs w:val="18"/>
        </w:rPr>
      </w:pPr>
      <w:bookmarkStart w:id="38" w:name="_heading=h.snsy1anertc3" w:colFirst="0" w:colLast="0"/>
      <w:bookmarkEnd w:id="38"/>
    </w:p>
    <w:p w14:paraId="25C23DC4" w14:textId="77777777" w:rsidR="00925999" w:rsidRPr="001A1392" w:rsidRDefault="00925999">
      <w:pPr>
        <w:spacing w:before="240" w:after="240"/>
        <w:jc w:val="both"/>
        <w:rPr>
          <w:rFonts w:ascii="Verdana" w:eastAsia="Arial" w:hAnsi="Verdana"/>
          <w:sz w:val="18"/>
          <w:szCs w:val="18"/>
        </w:rPr>
      </w:pPr>
      <w:bookmarkStart w:id="39" w:name="_heading=h.rtfnv01mdcgz" w:colFirst="0" w:colLast="0"/>
      <w:bookmarkEnd w:id="39"/>
    </w:p>
    <w:p w14:paraId="27C85F0C" w14:textId="77777777" w:rsidR="00925999" w:rsidRPr="001A1392" w:rsidRDefault="00925999">
      <w:pPr>
        <w:spacing w:before="240" w:after="240"/>
        <w:jc w:val="both"/>
        <w:rPr>
          <w:rFonts w:ascii="Verdana" w:eastAsia="Arial" w:hAnsi="Verdana"/>
          <w:sz w:val="18"/>
          <w:szCs w:val="18"/>
        </w:rPr>
      </w:pPr>
      <w:bookmarkStart w:id="40" w:name="_heading=h.2wlj1dopzqjl" w:colFirst="0" w:colLast="0"/>
      <w:bookmarkEnd w:id="40"/>
    </w:p>
    <w:p w14:paraId="4CF316D7" w14:textId="77777777" w:rsidR="00925999" w:rsidRPr="001A1392" w:rsidRDefault="00925999">
      <w:pPr>
        <w:spacing w:before="240" w:after="240"/>
        <w:jc w:val="both"/>
        <w:rPr>
          <w:rFonts w:ascii="Verdana" w:eastAsia="Arial" w:hAnsi="Verdana"/>
          <w:sz w:val="18"/>
          <w:szCs w:val="18"/>
        </w:rPr>
      </w:pPr>
      <w:bookmarkStart w:id="41" w:name="_heading=h.je7pvo6ia9oe" w:colFirst="0" w:colLast="0"/>
      <w:bookmarkEnd w:id="41"/>
    </w:p>
    <w:p w14:paraId="24C01AE3" w14:textId="77777777" w:rsidR="00925999" w:rsidRPr="001A1392" w:rsidRDefault="00925999">
      <w:pPr>
        <w:spacing w:before="240" w:after="240"/>
        <w:jc w:val="both"/>
        <w:rPr>
          <w:rFonts w:ascii="Verdana" w:eastAsia="Arial" w:hAnsi="Verdana"/>
          <w:sz w:val="18"/>
          <w:szCs w:val="18"/>
        </w:rPr>
      </w:pPr>
      <w:bookmarkStart w:id="42" w:name="_heading=h.li40knjpoq8i" w:colFirst="0" w:colLast="0"/>
      <w:bookmarkEnd w:id="42"/>
    </w:p>
    <w:p w14:paraId="78D435B4" w14:textId="77777777" w:rsidR="00925999" w:rsidRPr="001A1392" w:rsidRDefault="00925999">
      <w:pPr>
        <w:spacing w:before="240" w:after="240"/>
        <w:jc w:val="both"/>
        <w:rPr>
          <w:rFonts w:ascii="Verdana" w:eastAsia="Arial" w:hAnsi="Verdana"/>
          <w:sz w:val="18"/>
          <w:szCs w:val="18"/>
        </w:rPr>
      </w:pPr>
      <w:bookmarkStart w:id="43" w:name="_heading=h.5cc0wlu546h6" w:colFirst="0" w:colLast="0"/>
      <w:bookmarkEnd w:id="43"/>
    </w:p>
    <w:p w14:paraId="001D1FEC" w14:textId="77777777" w:rsidR="00925999" w:rsidRPr="001A1392" w:rsidRDefault="00925999">
      <w:pPr>
        <w:spacing w:before="240" w:after="240"/>
        <w:jc w:val="both"/>
        <w:rPr>
          <w:rFonts w:ascii="Verdana" w:eastAsia="Arial" w:hAnsi="Verdana"/>
          <w:sz w:val="18"/>
          <w:szCs w:val="18"/>
        </w:rPr>
      </w:pPr>
      <w:bookmarkStart w:id="44" w:name="_heading=h.9wt0ibq3pqj9" w:colFirst="0" w:colLast="0"/>
      <w:bookmarkEnd w:id="44"/>
    </w:p>
    <w:p w14:paraId="785E5901" w14:textId="77777777" w:rsidR="00925999" w:rsidRPr="001A1392" w:rsidRDefault="00925999">
      <w:pPr>
        <w:spacing w:before="240" w:after="240"/>
        <w:jc w:val="both"/>
        <w:rPr>
          <w:rFonts w:ascii="Verdana" w:eastAsia="Arial" w:hAnsi="Verdana"/>
          <w:sz w:val="18"/>
          <w:szCs w:val="18"/>
        </w:rPr>
      </w:pPr>
      <w:bookmarkStart w:id="45" w:name="_heading=h.241vscndmdl2" w:colFirst="0" w:colLast="0"/>
      <w:bookmarkEnd w:id="45"/>
    </w:p>
    <w:p w14:paraId="03F8439B" w14:textId="77777777" w:rsidR="001A1392" w:rsidRDefault="001A1392">
      <w:pPr>
        <w:spacing w:before="240" w:after="240"/>
        <w:jc w:val="both"/>
        <w:rPr>
          <w:rFonts w:ascii="Verdana" w:eastAsia="Arial" w:hAnsi="Verdana"/>
          <w:b/>
          <w:bCs/>
          <w:sz w:val="18"/>
          <w:szCs w:val="18"/>
        </w:rPr>
      </w:pPr>
      <w:bookmarkStart w:id="46" w:name="_heading=h.i17fdeju334x" w:colFirst="0" w:colLast="0"/>
      <w:bookmarkStart w:id="47" w:name="_heading=h.qhu48m3utugr" w:colFirst="0" w:colLast="0"/>
      <w:bookmarkEnd w:id="46"/>
      <w:bookmarkEnd w:id="47"/>
    </w:p>
    <w:p w14:paraId="2FC41076" w14:textId="77777777" w:rsidR="001A1392" w:rsidRDefault="001A1392">
      <w:pPr>
        <w:spacing w:before="240" w:after="240"/>
        <w:jc w:val="both"/>
        <w:rPr>
          <w:rFonts w:ascii="Verdana" w:eastAsia="Arial" w:hAnsi="Verdana"/>
          <w:b/>
          <w:bCs/>
          <w:sz w:val="18"/>
          <w:szCs w:val="18"/>
        </w:rPr>
      </w:pPr>
    </w:p>
    <w:p w14:paraId="56896503" w14:textId="7570390E" w:rsidR="00925999" w:rsidRPr="001A1392" w:rsidRDefault="00925999">
      <w:pPr>
        <w:spacing w:before="240" w:after="240"/>
        <w:jc w:val="both"/>
        <w:rPr>
          <w:rFonts w:ascii="Verdana" w:eastAsia="Arial" w:hAnsi="Verdana"/>
          <w:b/>
          <w:bCs/>
          <w:sz w:val="18"/>
          <w:szCs w:val="18"/>
        </w:rPr>
      </w:pPr>
    </w:p>
    <w:sectPr w:rsidR="00925999" w:rsidRPr="001A1392">
      <w:headerReference w:type="default" r:id="rId8"/>
      <w:footerReference w:type="default" r:id="rId9"/>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5237F" w14:textId="77777777" w:rsidR="008124D4" w:rsidRDefault="008124D4">
      <w:pPr>
        <w:spacing w:after="0" w:line="240" w:lineRule="auto"/>
      </w:pPr>
      <w:r>
        <w:separator/>
      </w:r>
    </w:p>
  </w:endnote>
  <w:endnote w:type="continuationSeparator" w:id="0">
    <w:p w14:paraId="559EF049" w14:textId="77777777" w:rsidR="008124D4" w:rsidRDefault="00812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embedRegular r:id="rId1" w:fontKey="{56FB27B4-D39F-F144-95DF-21EC2171B0F2}"/>
  </w:font>
  <w:font w:name="Times New Roman">
    <w:panose1 w:val="02020603050405020304"/>
    <w:charset w:val="00"/>
    <w:family w:val="roman"/>
    <w:pitch w:val="variable"/>
    <w:sig w:usb0="E0002EFF" w:usb1="C000785B" w:usb2="00000009" w:usb3="00000000" w:csb0="000001FF" w:csb1="00000000"/>
    <w:embedRegular r:id="rId2" w:fontKey="{EBC3D86A-0599-8B4C-B9CD-A3D237F61BB5}"/>
    <w:embedBold r:id="rId3" w:fontKey="{88C88915-2387-B840-93D9-ED47547685F3}"/>
  </w:font>
  <w:font w:name="Courier New">
    <w:panose1 w:val="02070309020205020404"/>
    <w:charset w:val="00"/>
    <w:family w:val="modern"/>
    <w:pitch w:val="fixed"/>
    <w:sig w:usb0="E0002AFF" w:usb1="C0007843" w:usb2="00000009" w:usb3="00000000" w:csb0="000001FF" w:csb1="00000000"/>
    <w:embedRegular r:id="rId4" w:fontKey="{FAF7F072-8E14-C044-90C4-750E16A17780}"/>
  </w:font>
  <w:font w:name="Wingdings">
    <w:panose1 w:val="05000000000000000000"/>
    <w:charset w:val="00"/>
    <w:family w:val="decorative"/>
    <w:pitch w:val="variable"/>
    <w:sig w:usb0="00000003" w:usb1="00000000" w:usb2="00000000" w:usb3="00000000" w:csb0="80000001" w:csb1="00000000"/>
    <w:embedRegular r:id="rId5" w:fontKey="{513424CC-A61B-B94D-A139-28D782F78CD5}"/>
  </w:font>
  <w:font w:name="Calibri">
    <w:panose1 w:val="020F0502020204030204"/>
    <w:charset w:val="00"/>
    <w:family w:val="swiss"/>
    <w:pitch w:val="variable"/>
    <w:sig w:usb0="E4002EFF" w:usb1="C200247B" w:usb2="00000009" w:usb3="00000000" w:csb0="000001FF" w:csb1="00000000"/>
    <w:embedRegular r:id="rId6" w:fontKey="{320607C3-3F8F-DA40-8537-1C279D55B18B}"/>
    <w:embedBold r:id="rId7" w:fontKey="{58F159E4-EF8F-A043-811F-4D59ECC224E8}"/>
  </w:font>
  <w:font w:name="Georgia">
    <w:panose1 w:val="02040502050405020303"/>
    <w:charset w:val="00"/>
    <w:family w:val="roman"/>
    <w:pitch w:val="variable"/>
    <w:sig w:usb0="00000287" w:usb1="00000000" w:usb2="00000000" w:usb3="00000000" w:csb0="0000009F" w:csb1="00000000"/>
    <w:embedItalic r:id="rId8" w:fontKey="{86266593-BCA4-794A-86D6-CC6055F2A729}"/>
  </w:font>
  <w:font w:name="Verdana">
    <w:panose1 w:val="020B0604030504040204"/>
    <w:charset w:val="00"/>
    <w:family w:val="swiss"/>
    <w:pitch w:val="variable"/>
    <w:sig w:usb0="A10006FF" w:usb1="4000205B" w:usb2="00000010" w:usb3="00000000" w:csb0="0000019F" w:csb1="00000000"/>
    <w:embedRegular r:id="rId9" w:fontKey="{011D630E-FA67-A844-B11D-34B9DE5F10AD}"/>
    <w:embedBold r:id="rId10" w:fontKey="{A2003240-2A81-464A-977B-A39EDD992159}"/>
  </w:font>
  <w:font w:name="Arial">
    <w:panose1 w:val="020B0604020202020204"/>
    <w:charset w:val="00"/>
    <w:family w:val="swiss"/>
    <w:pitch w:val="variable"/>
    <w:sig w:usb0="E0002EFF" w:usb1="C000785B" w:usb2="00000009" w:usb3="00000000" w:csb0="000001FF" w:csb1="00000000"/>
    <w:embedRegular r:id="rId11" w:fontKey="{128778E3-32BE-9045-9575-BE20B3A1453F}"/>
    <w:embedBold r:id="rId12" w:fontKey="{B8CB1C1A-92BA-AC4D-9A55-7B92BF7CE48E}"/>
  </w:font>
  <w:font w:name="Cambria Math">
    <w:panose1 w:val="02040503050406030204"/>
    <w:charset w:val="00"/>
    <w:family w:val="roman"/>
    <w:pitch w:val="variable"/>
    <w:sig w:usb0="E00002FF" w:usb1="420024FF" w:usb2="00000000" w:usb3="00000000" w:csb0="0000019F" w:csb1="00000000"/>
    <w:embedRegular r:id="rId13" w:fontKey="{1DF0AD8D-4F99-F54B-9535-DA9F0A98BD05}"/>
  </w:font>
  <w:font w:name="Cambria">
    <w:panose1 w:val="02040503050406030204"/>
    <w:charset w:val="EE"/>
    <w:family w:val="roman"/>
    <w:pitch w:val="variable"/>
    <w:sig w:usb0="E00006FF" w:usb1="420024FF" w:usb2="02000000" w:usb3="00000000" w:csb0="0000019F" w:csb1="00000000"/>
    <w:embedRegular r:id="rId14" w:fontKey="{D3F8D102-83BD-F24E-B422-C1C31374127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3A12" w14:textId="77777777" w:rsidR="00925999" w:rsidRDefault="00000000">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1E139A">
      <w:rPr>
        <w:noProof/>
        <w:color w:val="000000"/>
      </w:rPr>
      <w:t>1</w:t>
    </w:r>
    <w:r>
      <w:rPr>
        <w:color w:val="000000"/>
      </w:rPr>
      <w:fldChar w:fldCharType="end"/>
    </w:r>
  </w:p>
  <w:p w14:paraId="7CF57610" w14:textId="77777777" w:rsidR="00925999" w:rsidRDefault="00925999">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50B0A" w14:textId="77777777" w:rsidR="008124D4" w:rsidRDefault="008124D4">
      <w:pPr>
        <w:spacing w:after="0" w:line="240" w:lineRule="auto"/>
      </w:pPr>
      <w:r>
        <w:separator/>
      </w:r>
    </w:p>
  </w:footnote>
  <w:footnote w:type="continuationSeparator" w:id="0">
    <w:p w14:paraId="19828B30" w14:textId="77777777" w:rsidR="008124D4" w:rsidRDefault="008124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350BE" w14:textId="77777777" w:rsidR="00925999" w:rsidRDefault="0092599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64E0F"/>
    <w:multiLevelType w:val="multilevel"/>
    <w:tmpl w:val="A36C0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C6650F"/>
    <w:multiLevelType w:val="multilevel"/>
    <w:tmpl w:val="6AC46EC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38A1EC0"/>
    <w:multiLevelType w:val="hybridMultilevel"/>
    <w:tmpl w:val="E4A896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30CB25BE"/>
    <w:multiLevelType w:val="multilevel"/>
    <w:tmpl w:val="5B846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C74B4A"/>
    <w:multiLevelType w:val="hybridMultilevel"/>
    <w:tmpl w:val="3B5E18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415525AA"/>
    <w:multiLevelType w:val="multilevel"/>
    <w:tmpl w:val="6BE6D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C0732A"/>
    <w:multiLevelType w:val="multilevel"/>
    <w:tmpl w:val="E25EC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A0516CA"/>
    <w:multiLevelType w:val="hybridMultilevel"/>
    <w:tmpl w:val="CFD484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73710CA4"/>
    <w:multiLevelType w:val="multilevel"/>
    <w:tmpl w:val="58341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EE2D50"/>
    <w:multiLevelType w:val="multilevel"/>
    <w:tmpl w:val="3940C9A6"/>
    <w:lvl w:ilvl="0">
      <w:start w:val="2"/>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num w:numId="1" w16cid:durableId="347175202">
    <w:abstractNumId w:val="6"/>
  </w:num>
  <w:num w:numId="2" w16cid:durableId="731462138">
    <w:abstractNumId w:val="9"/>
  </w:num>
  <w:num w:numId="3" w16cid:durableId="1600142148">
    <w:abstractNumId w:val="1"/>
  </w:num>
  <w:num w:numId="4" w16cid:durableId="2026053738">
    <w:abstractNumId w:val="3"/>
  </w:num>
  <w:num w:numId="5" w16cid:durableId="943879064">
    <w:abstractNumId w:val="5"/>
  </w:num>
  <w:num w:numId="6" w16cid:durableId="691810079">
    <w:abstractNumId w:val="0"/>
  </w:num>
  <w:num w:numId="7" w16cid:durableId="1570848452">
    <w:abstractNumId w:val="8"/>
  </w:num>
  <w:num w:numId="8" w16cid:durableId="1269853822">
    <w:abstractNumId w:val="4"/>
  </w:num>
  <w:num w:numId="9" w16cid:durableId="312562207">
    <w:abstractNumId w:val="2"/>
  </w:num>
  <w:num w:numId="10" w16cid:durableId="13660541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999"/>
    <w:rsid w:val="001A1392"/>
    <w:rsid w:val="001E139A"/>
    <w:rsid w:val="00395F26"/>
    <w:rsid w:val="004C628F"/>
    <w:rsid w:val="00732F95"/>
    <w:rsid w:val="008124D4"/>
    <w:rsid w:val="0090592D"/>
    <w:rsid w:val="00925999"/>
    <w:rsid w:val="00A16E0A"/>
    <w:rsid w:val="00C02575"/>
    <w:rsid w:val="00C1475D"/>
    <w:rsid w:val="00E1127D"/>
    <w:rsid w:val="00E509F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4:docId w14:val="1E31E63E"/>
  <w15:docId w15:val="{EA0D90F9-D33B-EE4D-B8DF-0E94A2ED0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bCs/>
      <w:sz w:val="48"/>
      <w:szCs w:val="48"/>
    </w:rPr>
  </w:style>
  <w:style w:type="paragraph" w:styleId="Nadpis2">
    <w:name w:val="heading 2"/>
    <w:basedOn w:val="Normln"/>
    <w:next w:val="Normln"/>
    <w:uiPriority w:val="9"/>
    <w:semiHidden/>
    <w:unhideWhenUsed/>
    <w:qFormat/>
    <w:pPr>
      <w:keepNext/>
      <w:keepLines/>
      <w:spacing w:before="360" w:after="80"/>
      <w:outlineLvl w:val="1"/>
    </w:pPr>
    <w:rPr>
      <w:b/>
      <w:bCs/>
      <w:sz w:val="36"/>
      <w:szCs w:val="36"/>
    </w:rPr>
  </w:style>
  <w:style w:type="paragraph" w:styleId="Nadpis3">
    <w:name w:val="heading 3"/>
    <w:basedOn w:val="Normln"/>
    <w:next w:val="Normln"/>
    <w:uiPriority w:val="9"/>
    <w:semiHidden/>
    <w:unhideWhenUsed/>
    <w:qFormat/>
    <w:pPr>
      <w:keepNext/>
      <w:keepLines/>
      <w:spacing w:before="280" w:after="80"/>
      <w:outlineLvl w:val="2"/>
    </w:pPr>
    <w:rPr>
      <w:b/>
      <w:bCs/>
      <w:sz w:val="28"/>
      <w:szCs w:val="28"/>
    </w:rPr>
  </w:style>
  <w:style w:type="paragraph" w:styleId="Nadpis4">
    <w:name w:val="heading 4"/>
    <w:basedOn w:val="Normln"/>
    <w:next w:val="Normln"/>
    <w:uiPriority w:val="9"/>
    <w:semiHidden/>
    <w:unhideWhenUsed/>
    <w:qFormat/>
    <w:pPr>
      <w:keepNext/>
      <w:keepLines/>
      <w:spacing w:before="240" w:after="40"/>
      <w:outlineLvl w:val="3"/>
    </w:pPr>
    <w:rPr>
      <w:b/>
      <w:bCs/>
      <w:sz w:val="24"/>
      <w:szCs w:val="24"/>
    </w:rPr>
  </w:style>
  <w:style w:type="paragraph" w:styleId="Nadpis5">
    <w:name w:val="heading 5"/>
    <w:basedOn w:val="Normln"/>
    <w:next w:val="Normln"/>
    <w:uiPriority w:val="9"/>
    <w:semiHidden/>
    <w:unhideWhenUsed/>
    <w:qFormat/>
    <w:pPr>
      <w:keepNext/>
      <w:keepLines/>
      <w:spacing w:before="220" w:after="40"/>
      <w:outlineLvl w:val="4"/>
    </w:pPr>
    <w:rPr>
      <w:b/>
      <w:bCs/>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paragraph" w:styleId="Podnadpis">
    <w:name w:val="Subtitle"/>
    <w:basedOn w:val="Normln"/>
    <w:next w:val="Normln"/>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character" w:styleId="Siln">
    <w:name w:val="Strong"/>
    <w:basedOn w:val="Standardnpsmoodstavce"/>
    <w:uiPriority w:val="22"/>
    <w:qFormat/>
    <w:rsid w:val="001A1392"/>
    <w:rPr>
      <w:b/>
      <w:bCs/>
    </w:rPr>
  </w:style>
  <w:style w:type="paragraph" w:styleId="Odstavecseseznamem">
    <w:name w:val="List Paragraph"/>
    <w:basedOn w:val="Normln"/>
    <w:uiPriority w:val="34"/>
    <w:qFormat/>
    <w:rsid w:val="001A1392"/>
    <w:pPr>
      <w:ind w:left="720"/>
      <w:contextualSpacing/>
    </w:pPr>
  </w:style>
  <w:style w:type="paragraph" w:customStyle="1" w:styleId="isselectedend">
    <w:name w:val="isselectedend"/>
    <w:basedOn w:val="Normln"/>
    <w:rsid w:val="001A1392"/>
    <w:pPr>
      <w:spacing w:before="100" w:beforeAutospacing="1" w:after="100" w:afterAutospacing="1" w:line="240" w:lineRule="auto"/>
    </w:pPr>
    <w:rPr>
      <w:rFonts w:ascii="Times New Roman" w:eastAsia="Times New Roman" w:hAnsi="Times New Roman" w:cs="Times New Roman"/>
      <w:sz w:val="24"/>
      <w:szCs w:val="24"/>
      <w:lang w:val="cs-CZ"/>
    </w:rPr>
  </w:style>
  <w:style w:type="paragraph" w:styleId="Normlnweb">
    <w:name w:val="Normal (Web)"/>
    <w:basedOn w:val="Normln"/>
    <w:uiPriority w:val="99"/>
    <w:semiHidden/>
    <w:unhideWhenUsed/>
    <w:rsid w:val="001A1392"/>
    <w:pPr>
      <w:spacing w:before="100" w:beforeAutospacing="1" w:after="100" w:afterAutospacing="1" w:line="240" w:lineRule="auto"/>
    </w:pPr>
    <w:rPr>
      <w:rFonts w:ascii="Times New Roman" w:eastAsia="Times New Roman" w:hAnsi="Times New Roman" w:cs="Times New Roman"/>
      <w:sz w:val="24"/>
      <w:szCs w:val="24"/>
      <w:lang w:val="cs-CZ"/>
    </w:rPr>
  </w:style>
  <w:style w:type="table" w:styleId="Mkatabulky">
    <w:name w:val="Table Grid"/>
    <w:basedOn w:val="Normlntabulka"/>
    <w:uiPriority w:val="39"/>
    <w:rsid w:val="001A13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0203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3BTTJFNMVF28o+QzehjBBdjpeQ==">CgMxLjAyDmgubndjMDE2and0ZW41Mg5oLnlmam1zMnFrMXp5aDIOaC5pZnlhcHo3amI3MmcyDmguY3Vubmx5dHI0dnRlMg5oLm8yNGQzenVuNjV4NDIMaC5uNnpzYWxlandpMg5oLmg2OXU3emNldG5rdzIOaC53ZGtscGt2ejhjN2QyDmgucDRhNHRnc2I5YmdpMg5oLmZib2hwYXhzYzczZjIOaC41dmdvcXFueWM1NWUyDmguMTA5bnBlbHd3eTlyMg5oLmoxNWZvOWFhZTA4dzINaC5iOTJxNHZuNnJueDIOaC5hd2Q2bjR1dTI3b2wyDmguNnQyZXB1Mzczc3Z5Mg5oLmhzazVsc2o4NGl1MDIOaC5ydXY4cXM3OHZmNXIyDmguc21yaTBraHl2N2lyMg5oLjY3NmhjemdsNm9wbjIOaC50eHQ5ZWloeXBqN3EyDmguemFoMWZneWhjMjcwMg5oLndxdTYzMXlxZDZudjINaC55YTlteHY1dXkxbTIOaC5vcWozb3ZsOHB3OW4yDWguM2N6OHp4dDlwdDQyDmguYmxkYWNidjJhcjdsMg5oLndwdHk3MGozNWhleDIOaC5wOG9sYmdpeTc0ZnMyDmguNTR3bTBzNndlZzZqMg5oLm5iMGk5eGx6ZDlkNzIOaC40dTJueWg3YXN2cXAyDmguMW1tZm5nYjk4YWFjMg5oLnRncHdmZW9wOGl3bDIOaC43ZDhweTVlNGRocjYyDmguMjJrYTZlbjN6aGRiMg5oLjZucHQ2aTRybGE4azIOaC5zY2xsc2l2aXo5Z28yDmguc25zeTFhbmVydGMzMg5oLnJ0Zm52MDFtZGNnejIOaC4yd2xqMWRvcHpxamwyDmguamU3cHZvNmlhOW9lMg5oLmxpNDBrbmpwb3E4aTIOaC41Y2Mwd2x1NTQ2aDYyDmguOXd0MGlicTNwcWo5Mg5oLjI0MXZzY25kbWRsMjIOaC5pMTdmZGVqdTMzNHgyDmgucWh1NDhtM3V0dWdyOAByITFLZm5rMmJxdXY3eVJWNm9CeDJURzVHVGczeEpINmZBe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3943</Words>
  <Characters>23266</Characters>
  <Application>Microsoft Office Word</Application>
  <DocSecurity>0</DocSecurity>
  <Lines>193</Lines>
  <Paragraphs>54</Paragraphs>
  <ScaleCrop>false</ScaleCrop>
  <Company/>
  <LinksUpToDate>false</LinksUpToDate>
  <CharactersWithSpaces>27155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Zpráva o udržitelnosti společnosti Hoffmann &amp; Žižák spol. s.r.o. za rok 2025</dc:title>
  <cp:lastModifiedBy>Kristýna Houšková</cp:lastModifiedBy>
  <cp:revision>3</cp:revision>
  <dcterms:created xsi:type="dcterms:W3CDTF">2026-08-31T09:10:00Z</dcterms:created>
  <dcterms:modified xsi:type="dcterms:W3CDTF">2026-09-09T17:19:00Z</dcterms:modified>
</cp:coreProperties>
</file>